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03084321"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76388A">
        <w:rPr>
          <w:b/>
          <w:w w:val="115"/>
          <w:lang w:val="pt-BR"/>
        </w:rPr>
        <w:t>8</w:t>
      </w:r>
      <w:r w:rsidR="002E58E6">
        <w:rPr>
          <w:b/>
          <w:w w:val="115"/>
          <w:lang w:val="pt-BR"/>
        </w:rPr>
        <w:t>9</w:t>
      </w:r>
      <w:r w:rsidR="00D311E1" w:rsidRPr="00AC508A">
        <w:rPr>
          <w:b/>
          <w:w w:val="115"/>
          <w:lang w:val="pt-BR"/>
        </w:rPr>
        <w:t>/2026</w:t>
      </w:r>
      <w:r w:rsidR="00FB48B3">
        <w:rPr>
          <w:b/>
          <w:w w:val="115"/>
          <w:lang w:val="pt-BR"/>
        </w:rPr>
        <w:t xml:space="preserve"> </w:t>
      </w:r>
    </w:p>
    <w:p w14:paraId="43C530A5" w14:textId="53EC2225"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76388A">
        <w:rPr>
          <w:b/>
          <w:spacing w:val="-2"/>
          <w:w w:val="115"/>
          <w:lang w:val="pt-BR"/>
        </w:rPr>
        <w:t>2</w:t>
      </w:r>
      <w:r w:rsidR="002E58E6">
        <w:rPr>
          <w:b/>
          <w:spacing w:val="-2"/>
          <w:w w:val="115"/>
          <w:lang w:val="pt-BR"/>
        </w:rPr>
        <w:t>54</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739B864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76388A">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110D589D"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2E58E6">
        <w:rPr>
          <w:b/>
          <w:bCs/>
          <w:spacing w:val="4"/>
          <w:w w:val="115"/>
          <w:sz w:val="24"/>
          <w:szCs w:val="24"/>
        </w:rPr>
        <w:t>08/07</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w:t>
      </w:r>
      <w:r w:rsidR="002E58E6">
        <w:rPr>
          <w:b/>
          <w:w w:val="115"/>
          <w:sz w:val="24"/>
          <w:szCs w:val="24"/>
          <w:lang w:val="pt-BR"/>
        </w:rPr>
        <w:t>3</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2E58E6">
        <w:rPr>
          <w:b/>
          <w:bCs/>
          <w:w w:val="110"/>
          <w:sz w:val="24"/>
          <w:szCs w:val="24"/>
          <w:lang w:val="pt-BR"/>
        </w:rPr>
        <w:t>16</w:t>
      </w:r>
      <w:r w:rsidR="009B591F">
        <w:rPr>
          <w:b/>
          <w:bCs/>
          <w:w w:val="110"/>
          <w:sz w:val="24"/>
          <w:szCs w:val="24"/>
          <w:lang w:val="pt-BR"/>
        </w:rPr>
        <w:t>/0</w:t>
      </w:r>
      <w:r w:rsidR="0029207E">
        <w:rPr>
          <w:b/>
          <w:bCs/>
          <w:w w:val="110"/>
          <w:sz w:val="24"/>
          <w:szCs w:val="24"/>
          <w:lang w:val="pt-BR"/>
        </w:rPr>
        <w:t>7</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5D98481A"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E58E6">
        <w:rPr>
          <w:b/>
          <w:bCs/>
          <w:w w:val="110"/>
          <w:sz w:val="24"/>
          <w:szCs w:val="24"/>
          <w:lang w:val="pt-BR"/>
        </w:rPr>
        <w:t>16</w:t>
      </w:r>
      <w:r w:rsidR="009B591F">
        <w:rPr>
          <w:b/>
          <w:bCs/>
          <w:w w:val="110"/>
          <w:sz w:val="24"/>
          <w:szCs w:val="24"/>
          <w:lang w:val="pt-BR"/>
        </w:rPr>
        <w:t>/0</w:t>
      </w:r>
      <w:r w:rsidR="0029207E">
        <w:rPr>
          <w:b/>
          <w:bCs/>
          <w:w w:val="110"/>
          <w:sz w:val="24"/>
          <w:szCs w:val="24"/>
          <w:lang w:val="pt-BR"/>
        </w:rPr>
        <w:t>7</w:t>
      </w:r>
      <w:r w:rsidR="0076388A" w:rsidRPr="00AC508A">
        <w:rPr>
          <w:b/>
          <w:bCs/>
          <w:w w:val="110"/>
          <w:sz w:val="24"/>
          <w:szCs w:val="24"/>
          <w:lang w:val="pt-BR"/>
        </w:rPr>
        <w:t>/2026</w:t>
      </w:r>
      <w:r w:rsidR="0076388A" w:rsidRPr="00AC508A">
        <w:rPr>
          <w:b/>
          <w:spacing w:val="-14"/>
          <w:w w:val="110"/>
          <w:sz w:val="24"/>
          <w:szCs w:val="24"/>
        </w:rPr>
        <w:t xml:space="preserve">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1BF45813" w14:textId="77777777" w:rsidR="002E58E6" w:rsidRPr="00AC508A" w:rsidRDefault="002E58E6">
      <w:pPr>
        <w:ind w:left="492"/>
        <w:rPr>
          <w:w w:val="110"/>
          <w:sz w:val="24"/>
          <w:szCs w:val="24"/>
        </w:rPr>
      </w:pPr>
    </w:p>
    <w:p w14:paraId="7DF363F9"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Código da Ficha: 410</w:t>
      </w:r>
    </w:p>
    <w:p w14:paraId="7D4F40D6"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Órgão: 02 PREFEITURA MUNICIPAL</w:t>
      </w:r>
    </w:p>
    <w:p w14:paraId="64775BD5"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Unidade: 18 SECRETARIA MUNICIPAL DE OBRAS</w:t>
      </w:r>
    </w:p>
    <w:p w14:paraId="520AF197"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Dotação: 15.452.0045.2042.0000</w:t>
      </w:r>
    </w:p>
    <w:p w14:paraId="08E30753"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3.3.90.30.00 MATERIAL DE CONSUMO</w:t>
      </w:r>
    </w:p>
    <w:p w14:paraId="089CA9FC" w14:textId="77777777" w:rsidR="002E58E6" w:rsidRPr="002E58E6" w:rsidRDefault="002E58E6" w:rsidP="002E58E6">
      <w:pPr>
        <w:pStyle w:val="SemEspaamento"/>
        <w:jc w:val="both"/>
        <w:rPr>
          <w:rFonts w:ascii="Times New Roman" w:eastAsia="Times New Roman" w:hAnsi="Times New Roman"/>
          <w:w w:val="110"/>
          <w:sz w:val="16"/>
          <w:szCs w:val="16"/>
          <w:lang w:val="pt-PT"/>
        </w:rPr>
      </w:pPr>
      <w:r w:rsidRPr="002E58E6">
        <w:rPr>
          <w:rFonts w:ascii="Times New Roman" w:eastAsia="Times New Roman" w:hAnsi="Times New Roman"/>
          <w:w w:val="110"/>
          <w:sz w:val="16"/>
          <w:szCs w:val="16"/>
          <w:lang w:val="pt-PT"/>
        </w:rPr>
        <w:t>EXECUÇÃO E MANUTENÇÃO DE OBRAS</w:t>
      </w:r>
    </w:p>
    <w:p w14:paraId="3E79ED7D" w14:textId="77777777" w:rsidR="002E58E6" w:rsidRDefault="002E58E6" w:rsidP="002E58E6">
      <w:pPr>
        <w:pStyle w:val="SemEspaamento"/>
        <w:jc w:val="both"/>
      </w:pPr>
    </w:p>
    <w:p w14:paraId="29A5B3D6" w14:textId="158DBA9B"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w:t>
      </w:r>
      <w:r w:rsidRPr="009A6D3F">
        <w:rPr>
          <w:w w:val="115"/>
        </w:rPr>
        <w:t xml:space="preserve">para </w:t>
      </w:r>
      <w:r w:rsidR="002E58E6" w:rsidRPr="002E58E6">
        <w:rPr>
          <w:rFonts w:ascii="Arial Narrow" w:hAnsi="Arial Narrow"/>
          <w:b/>
          <w:bCs/>
        </w:rPr>
        <w:t xml:space="preserve"> </w:t>
      </w:r>
      <w:r w:rsidR="002E58E6" w:rsidRPr="002E58E6">
        <w:rPr>
          <w:w w:val="115"/>
        </w:rPr>
        <w:t>REFERENTE A AQUISIÇÃO DE 01 (UM) CESTO AÉREO EM FIBRA DE VIDRO PARA ADAPTAÇÃO EM CAMINHÃO MUNCK PERTENCENTE A FROTA MUNICIPAL</w:t>
      </w:r>
      <w:r w:rsidR="00FA5792">
        <w:rPr>
          <w:rFonts w:ascii="Arial Narrow" w:hAnsi="Arial Narrow"/>
          <w:b/>
          <w:bCs/>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 xml:space="preserve">Havendo mais de um item ou lote faculta-se ao fornecedor a participação em quantos forem de seu interesse. Entretanto, optando-se por participar de um lote, deve o fornecedor </w:t>
      </w:r>
      <w:r w:rsidRPr="00AC508A">
        <w:rPr>
          <w:w w:val="115"/>
        </w:rPr>
        <w:lastRenderedPageBreak/>
        <w:t>enviar proposta para todos os itens que o compõem.</w:t>
      </w:r>
    </w:p>
    <w:p w14:paraId="627C0F66" w14:textId="2844560D"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76388A">
        <w:rPr>
          <w:b/>
          <w:bCs/>
          <w:w w:val="110"/>
        </w:rPr>
        <w:t xml:space="preserve">unitario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 xml:space="preserve">Que tenham sido declaradas inidôneas para contratar com a Administração Pública pelo </w:t>
      </w:r>
      <w:r w:rsidRPr="00AC508A">
        <w:rPr>
          <w:w w:val="115"/>
        </w:rPr>
        <w:lastRenderedPageBreak/>
        <w:t>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lastRenderedPageBreak/>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lastRenderedPageBreak/>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sidRPr="00AC508A">
        <w:rPr>
          <w:w w:val="115"/>
        </w:rPr>
        <w:lastRenderedPageBreak/>
        <w:t>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lastRenderedPageBreak/>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lastRenderedPageBreak/>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lastRenderedPageBreak/>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283AA480" w:rsidR="007E035C" w:rsidRPr="00AC508A" w:rsidRDefault="006207AF" w:rsidP="00A278B4">
      <w:pPr>
        <w:pStyle w:val="Corpodetexto"/>
        <w:ind w:left="1341" w:right="889"/>
        <w:jc w:val="right"/>
        <w:rPr>
          <w:lang w:val="pt-BR"/>
        </w:rPr>
      </w:pPr>
      <w:bookmarkStart w:id="2" w:name="_Hlk189576754"/>
      <w:r w:rsidRPr="00AC508A">
        <w:rPr>
          <w:w w:val="115"/>
        </w:rPr>
        <w:t>RIFAINA/SP,</w:t>
      </w:r>
      <w:r w:rsidR="002E58E6">
        <w:rPr>
          <w:w w:val="115"/>
        </w:rPr>
        <w:t>08 DE JULHO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185B325D" w:rsidR="0065179D" w:rsidRPr="009A6D3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613F72">
        <w:rPr>
          <w:b/>
          <w:spacing w:val="4"/>
          <w:w w:val="110"/>
        </w:rPr>
        <w:t xml:space="preserve"> </w:t>
      </w:r>
      <w:r w:rsidR="002E58E6" w:rsidRPr="002E58E6">
        <w:rPr>
          <w:b/>
          <w:spacing w:val="4"/>
          <w:w w:val="110"/>
        </w:rPr>
        <w:t>REFERENTE A AQUISIÇÃO DE 01 (UM) CESTO AÉREO EM FIBRA DE VIDRO PARA ADAPTAÇÃO EM CAMINHÃO MUNCK PERTENCENTE A FROTA MUNICIPAL.</w:t>
      </w:r>
    </w:p>
    <w:p w14:paraId="35B980AF" w14:textId="0A89AE88" w:rsidR="0065179D" w:rsidRPr="00FB0867" w:rsidRDefault="0065179D">
      <w:pPr>
        <w:pStyle w:val="Ttulo1"/>
        <w:ind w:left="0" w:right="20"/>
        <w:jc w:val="center"/>
        <w:rPr>
          <w:w w:val="115"/>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18C5197F" w:rsidR="0065179D" w:rsidRDefault="0065179D">
      <w:pPr>
        <w:pStyle w:val="Ttulo1"/>
        <w:ind w:left="0" w:right="20"/>
        <w:jc w:val="center"/>
        <w:rPr>
          <w:w w:val="115"/>
          <w:lang w:val="pt-B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541"/>
        <w:gridCol w:w="1274"/>
        <w:gridCol w:w="1179"/>
      </w:tblGrid>
      <w:tr w:rsidR="002E58E6" w:rsidRPr="00D8430F" w14:paraId="7DC6448B" w14:textId="77777777" w:rsidTr="00920296">
        <w:tc>
          <w:tcPr>
            <w:tcW w:w="667" w:type="dxa"/>
            <w:vAlign w:val="center"/>
          </w:tcPr>
          <w:p w14:paraId="5919930B" w14:textId="77777777" w:rsidR="002E58E6" w:rsidRPr="00D8430F" w:rsidRDefault="002E58E6" w:rsidP="00920296">
            <w:pPr>
              <w:jc w:val="center"/>
              <w:rPr>
                <w:rFonts w:cs="Calibri"/>
                <w:b/>
              </w:rPr>
            </w:pPr>
            <w:r>
              <w:rPr>
                <w:rFonts w:cs="Calibri"/>
                <w:b/>
              </w:rPr>
              <w:t>Item</w:t>
            </w:r>
          </w:p>
        </w:tc>
        <w:tc>
          <w:tcPr>
            <w:tcW w:w="4093" w:type="dxa"/>
            <w:vAlign w:val="center"/>
          </w:tcPr>
          <w:p w14:paraId="452B00FC" w14:textId="77777777" w:rsidR="002E58E6" w:rsidRPr="00D8430F" w:rsidRDefault="002E58E6" w:rsidP="00920296">
            <w:pPr>
              <w:jc w:val="center"/>
              <w:rPr>
                <w:rFonts w:cs="Calibri"/>
                <w:b/>
              </w:rPr>
            </w:pPr>
            <w:r w:rsidRPr="00D8430F">
              <w:rPr>
                <w:rFonts w:cs="Calibri"/>
                <w:b/>
              </w:rPr>
              <w:t>Descrição</w:t>
            </w:r>
          </w:p>
        </w:tc>
        <w:tc>
          <w:tcPr>
            <w:tcW w:w="941" w:type="dxa"/>
            <w:vAlign w:val="center"/>
          </w:tcPr>
          <w:p w14:paraId="1DD1A448" w14:textId="77777777" w:rsidR="002E58E6" w:rsidRPr="00D8430F" w:rsidRDefault="002E58E6" w:rsidP="00920296">
            <w:pPr>
              <w:jc w:val="center"/>
              <w:rPr>
                <w:rFonts w:cs="Calibri"/>
                <w:b/>
              </w:rPr>
            </w:pPr>
            <w:r w:rsidRPr="00D8430F">
              <w:rPr>
                <w:rFonts w:cs="Calibri"/>
                <w:b/>
              </w:rPr>
              <w:t>Unid.</w:t>
            </w:r>
          </w:p>
        </w:tc>
        <w:tc>
          <w:tcPr>
            <w:tcW w:w="849" w:type="dxa"/>
            <w:vAlign w:val="center"/>
          </w:tcPr>
          <w:p w14:paraId="0E9824BE" w14:textId="77777777" w:rsidR="002E58E6" w:rsidRPr="00D8430F" w:rsidRDefault="002E58E6" w:rsidP="00920296">
            <w:pPr>
              <w:jc w:val="center"/>
              <w:rPr>
                <w:rFonts w:cs="Calibri"/>
                <w:b/>
              </w:rPr>
            </w:pPr>
            <w:r w:rsidRPr="00D8430F">
              <w:rPr>
                <w:rFonts w:cs="Calibri"/>
                <w:b/>
              </w:rPr>
              <w:t>Quant.</w:t>
            </w:r>
          </w:p>
        </w:tc>
      </w:tr>
      <w:tr w:rsidR="002E58E6" w:rsidRPr="00D8430F" w14:paraId="01D5C875" w14:textId="77777777" w:rsidTr="00920296">
        <w:tc>
          <w:tcPr>
            <w:tcW w:w="667" w:type="dxa"/>
            <w:vAlign w:val="center"/>
          </w:tcPr>
          <w:p w14:paraId="3A407930" w14:textId="77777777" w:rsidR="002E58E6" w:rsidRPr="00D8430F" w:rsidRDefault="002E58E6" w:rsidP="00920296">
            <w:pPr>
              <w:jc w:val="center"/>
              <w:rPr>
                <w:rFonts w:cs="Calibri"/>
              </w:rPr>
            </w:pPr>
            <w:r w:rsidRPr="00D8430F">
              <w:rPr>
                <w:rFonts w:cs="Calibri"/>
              </w:rPr>
              <w:t>01</w:t>
            </w:r>
          </w:p>
        </w:tc>
        <w:tc>
          <w:tcPr>
            <w:tcW w:w="4093" w:type="dxa"/>
            <w:vAlign w:val="center"/>
          </w:tcPr>
          <w:p w14:paraId="56760778" w14:textId="77777777" w:rsidR="002E58E6" w:rsidRPr="002005FD" w:rsidRDefault="002E58E6" w:rsidP="00920296">
            <w:pPr>
              <w:jc w:val="center"/>
              <w:rPr>
                <w:rFonts w:cs="Calibri"/>
              </w:rPr>
            </w:pPr>
            <w:r w:rsidRPr="00965096">
              <w:rPr>
                <w:shd w:val="clear" w:color="auto" w:fill="FFFFFF"/>
              </w:rPr>
              <w:t>Cesto aéreo em fibra de vidro para adaptação em caminhão munck pertencente à frota municipal, confeccionado em fibra de vidro de alta resistência, com estrutura reforçada e apropriada para serviços em altura, compatível com o caminhão munck do município, incluindo sistema de adaptação e fixação, instalação completa, suportes, ferragens, fixadores e acessórios necessários, material resistente às intempéries e exposição solar, produto novo, sem uso anterior, com boas condições de estabilidade e segurança operacional, destinado ao transporte de operador e ferramentas para execução de serviços em altura.</w:t>
            </w:r>
          </w:p>
        </w:tc>
        <w:tc>
          <w:tcPr>
            <w:tcW w:w="941" w:type="dxa"/>
            <w:vAlign w:val="center"/>
          </w:tcPr>
          <w:p w14:paraId="0909690E" w14:textId="77777777" w:rsidR="002E58E6" w:rsidRPr="00D8430F" w:rsidRDefault="002E58E6" w:rsidP="00920296">
            <w:pPr>
              <w:jc w:val="center"/>
              <w:rPr>
                <w:rFonts w:cs="Calibri"/>
              </w:rPr>
            </w:pPr>
            <w:r>
              <w:rPr>
                <w:rFonts w:cs="Calibri"/>
              </w:rPr>
              <w:t>Unid.</w:t>
            </w:r>
          </w:p>
        </w:tc>
        <w:tc>
          <w:tcPr>
            <w:tcW w:w="849" w:type="dxa"/>
            <w:vAlign w:val="center"/>
          </w:tcPr>
          <w:p w14:paraId="490FE520" w14:textId="77777777" w:rsidR="002E58E6" w:rsidRPr="00D8430F" w:rsidRDefault="002E58E6" w:rsidP="00920296">
            <w:pPr>
              <w:jc w:val="center"/>
              <w:rPr>
                <w:rFonts w:cs="Calibri"/>
              </w:rPr>
            </w:pPr>
            <w:r>
              <w:rPr>
                <w:rFonts w:cs="Calibri"/>
              </w:rPr>
              <w:t>01</w:t>
            </w:r>
          </w:p>
        </w:tc>
      </w:tr>
    </w:tbl>
    <w:p w14:paraId="3AA654F0" w14:textId="77777777" w:rsidR="00A27F1D" w:rsidRDefault="00A27F1D">
      <w:pPr>
        <w:pStyle w:val="Ttulo1"/>
        <w:ind w:left="0" w:right="20"/>
        <w:jc w:val="center"/>
        <w:rPr>
          <w:w w:val="115"/>
          <w:lang w:val="pt-BR"/>
        </w:rPr>
      </w:pPr>
    </w:p>
    <w:p w14:paraId="10B93AB4" w14:textId="77777777" w:rsidR="001A2784" w:rsidRDefault="001A2784">
      <w:pPr>
        <w:pStyle w:val="Ttulo1"/>
        <w:ind w:left="0" w:right="20"/>
        <w:jc w:val="center"/>
        <w:rPr>
          <w:w w:val="115"/>
          <w:lang w:val="pt-BR"/>
        </w:rPr>
      </w:pPr>
    </w:p>
    <w:p w14:paraId="2FFFB46A" w14:textId="77777777" w:rsidR="001A2784" w:rsidRDefault="001A2784">
      <w:pPr>
        <w:pStyle w:val="Ttulo1"/>
        <w:ind w:left="0" w:right="20"/>
        <w:jc w:val="center"/>
        <w:rPr>
          <w:w w:val="115"/>
          <w:lang w:val="pt-BR"/>
        </w:rPr>
      </w:pPr>
    </w:p>
    <w:p w14:paraId="0283120F" w14:textId="77777777" w:rsidR="00FB0867" w:rsidRDefault="00FB0867">
      <w:pPr>
        <w:pStyle w:val="Ttulo1"/>
        <w:ind w:left="0" w:right="20"/>
        <w:jc w:val="center"/>
        <w:rPr>
          <w:w w:val="115"/>
          <w:lang w:val="pt-BR"/>
        </w:rPr>
      </w:pPr>
    </w:p>
    <w:p w14:paraId="52028A2D" w14:textId="77777777" w:rsidR="00FB0867" w:rsidRDefault="00FB0867">
      <w:pPr>
        <w:pStyle w:val="Ttulo1"/>
        <w:ind w:left="0" w:right="20"/>
        <w:jc w:val="center"/>
        <w:rPr>
          <w:w w:val="115"/>
          <w:lang w:val="pt-BR"/>
        </w:rPr>
      </w:pPr>
    </w:p>
    <w:p w14:paraId="16E9EF59" w14:textId="77777777" w:rsidR="00FB0867" w:rsidRDefault="00FB0867">
      <w:pPr>
        <w:pStyle w:val="Ttulo1"/>
        <w:ind w:left="0" w:right="20"/>
        <w:jc w:val="center"/>
        <w:rPr>
          <w:w w:val="115"/>
          <w:lang w:val="pt-BR"/>
        </w:rPr>
      </w:pPr>
    </w:p>
    <w:p w14:paraId="58A8D9BF" w14:textId="77777777" w:rsidR="00FB0867" w:rsidRDefault="00FB0867">
      <w:pPr>
        <w:pStyle w:val="Ttulo1"/>
        <w:ind w:left="0" w:right="20"/>
        <w:jc w:val="center"/>
        <w:rPr>
          <w:w w:val="115"/>
          <w:lang w:val="pt-BR"/>
        </w:rPr>
      </w:pPr>
    </w:p>
    <w:p w14:paraId="4BE6E41F" w14:textId="77777777" w:rsidR="00FB0867" w:rsidRDefault="00FB0867">
      <w:pPr>
        <w:pStyle w:val="Ttulo1"/>
        <w:ind w:left="0" w:right="20"/>
        <w:jc w:val="center"/>
        <w:rPr>
          <w:w w:val="115"/>
          <w:lang w:val="pt-BR"/>
        </w:rPr>
      </w:pPr>
    </w:p>
    <w:p w14:paraId="366C80E4" w14:textId="77777777" w:rsidR="00FB0867" w:rsidRDefault="00FB0867">
      <w:pPr>
        <w:pStyle w:val="Ttulo1"/>
        <w:ind w:left="0" w:right="20"/>
        <w:jc w:val="center"/>
        <w:rPr>
          <w:w w:val="115"/>
          <w:lang w:val="pt-BR"/>
        </w:rPr>
      </w:pPr>
    </w:p>
    <w:p w14:paraId="49D9F8EF" w14:textId="77777777" w:rsidR="00FB0867" w:rsidRDefault="00FB0867">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556AD887" w14:textId="77777777" w:rsidR="002E58E6" w:rsidRDefault="002E58E6">
      <w:pPr>
        <w:pStyle w:val="Ttulo1"/>
        <w:ind w:left="0" w:right="20"/>
        <w:jc w:val="center"/>
        <w:rPr>
          <w:w w:val="115"/>
          <w:lang w:val="pt-BR"/>
        </w:rPr>
      </w:pPr>
    </w:p>
    <w:p w14:paraId="7CB4072C" w14:textId="77777777" w:rsidR="002E58E6" w:rsidRDefault="002E58E6">
      <w:pPr>
        <w:pStyle w:val="Ttulo1"/>
        <w:ind w:left="0" w:right="20"/>
        <w:jc w:val="center"/>
        <w:rPr>
          <w:w w:val="115"/>
          <w:lang w:val="pt-BR"/>
        </w:rPr>
      </w:pPr>
    </w:p>
    <w:p w14:paraId="62EB1557" w14:textId="77777777" w:rsidR="002E58E6" w:rsidRDefault="002E58E6">
      <w:pPr>
        <w:pStyle w:val="Ttulo1"/>
        <w:ind w:left="0" w:right="20"/>
        <w:jc w:val="center"/>
        <w:rPr>
          <w:w w:val="115"/>
          <w:lang w:val="pt-BR"/>
        </w:rPr>
      </w:pPr>
    </w:p>
    <w:p w14:paraId="337C0AD9" w14:textId="77777777" w:rsidR="002E58E6" w:rsidRDefault="002E58E6">
      <w:pPr>
        <w:pStyle w:val="Ttulo1"/>
        <w:ind w:left="0" w:right="20"/>
        <w:jc w:val="center"/>
        <w:rPr>
          <w:w w:val="115"/>
          <w:lang w:val="pt-BR"/>
        </w:rPr>
      </w:pPr>
    </w:p>
    <w:p w14:paraId="2BE89D55" w14:textId="77777777" w:rsidR="002E58E6" w:rsidRDefault="002E58E6">
      <w:pPr>
        <w:pStyle w:val="Ttulo1"/>
        <w:ind w:left="0" w:right="20"/>
        <w:jc w:val="center"/>
        <w:rPr>
          <w:w w:val="115"/>
          <w:lang w:val="pt-BR"/>
        </w:rPr>
      </w:pPr>
    </w:p>
    <w:p w14:paraId="142816DA" w14:textId="77777777" w:rsidR="002E58E6" w:rsidRDefault="002E58E6">
      <w:pPr>
        <w:pStyle w:val="Ttulo1"/>
        <w:ind w:left="0" w:right="20"/>
        <w:jc w:val="center"/>
        <w:rPr>
          <w:w w:val="115"/>
          <w:lang w:val="pt-BR"/>
        </w:rPr>
      </w:pPr>
    </w:p>
    <w:p w14:paraId="0E0D6FFC" w14:textId="77777777" w:rsidR="002E58E6" w:rsidRDefault="002E58E6">
      <w:pPr>
        <w:pStyle w:val="Ttulo1"/>
        <w:ind w:left="0" w:right="20"/>
        <w:jc w:val="center"/>
        <w:rPr>
          <w:w w:val="115"/>
          <w:lang w:val="pt-BR"/>
        </w:rPr>
      </w:pPr>
    </w:p>
    <w:p w14:paraId="3FDF4A97" w14:textId="77777777" w:rsidR="002E58E6" w:rsidRDefault="002E58E6">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4CFEC375" w14:textId="77777777" w:rsidR="004114C0" w:rsidRDefault="004114C0">
      <w:pPr>
        <w:pStyle w:val="Ttulo1"/>
        <w:ind w:left="0" w:right="20"/>
        <w:jc w:val="center"/>
        <w:rPr>
          <w:w w:val="115"/>
          <w:lang w:val="pt-BR"/>
        </w:rPr>
      </w:pPr>
    </w:p>
    <w:p w14:paraId="00F53C64" w14:textId="77777777" w:rsidR="004114C0" w:rsidRDefault="004114C0">
      <w:pPr>
        <w:pStyle w:val="Ttulo1"/>
        <w:ind w:left="0" w:right="20"/>
        <w:jc w:val="center"/>
        <w:rPr>
          <w:w w:val="115"/>
          <w:lang w:val="pt-BR"/>
        </w:rPr>
      </w:pPr>
    </w:p>
    <w:p w14:paraId="2317B37C" w14:textId="77777777" w:rsidR="004114C0" w:rsidRDefault="004114C0">
      <w:pPr>
        <w:pStyle w:val="Ttulo1"/>
        <w:ind w:left="0" w:right="20"/>
        <w:jc w:val="center"/>
        <w:rPr>
          <w:w w:val="115"/>
          <w:lang w:val="pt-BR"/>
        </w:rPr>
      </w:pPr>
    </w:p>
    <w:p w14:paraId="35A585B2" w14:textId="77777777" w:rsidR="004114C0" w:rsidRDefault="004114C0">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 xml:space="preserve">f) - Certidão Negativa de Débitos ou Certidão Positiva com Efeitos de Negativa de Débito </w:t>
      </w:r>
      <w:r w:rsidRPr="00AB1E11">
        <w:rPr>
          <w:w w:val="115"/>
        </w:rPr>
        <w:lastRenderedPageBreak/>
        <w:t>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61921809" w14:textId="77777777" w:rsidR="004114C0" w:rsidRDefault="004114C0" w:rsidP="004114C0">
      <w:pPr>
        <w:widowControl/>
        <w:autoSpaceDE/>
        <w:autoSpaceDN/>
        <w:ind w:left="851"/>
        <w:jc w:val="both"/>
        <w:rPr>
          <w:w w:val="115"/>
        </w:rPr>
      </w:pPr>
    </w:p>
    <w:p w14:paraId="6E20B5D6" w14:textId="3A5EC689" w:rsidR="004114C0" w:rsidRPr="004114C0" w:rsidRDefault="004114C0" w:rsidP="004114C0">
      <w:pPr>
        <w:pStyle w:val="PargrafodaLista"/>
        <w:widowControl/>
        <w:numPr>
          <w:ilvl w:val="0"/>
          <w:numId w:val="48"/>
        </w:numPr>
        <w:autoSpaceDE/>
        <w:autoSpaceDN/>
        <w:rPr>
          <w:w w:val="115"/>
        </w:rPr>
      </w:pPr>
      <w:r>
        <w:rPr>
          <w:b/>
          <w:bCs/>
          <w:w w:val="115"/>
        </w:rPr>
        <w:t xml:space="preserve">Catalogo com especificações do produto </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F8498D" w14:textId="77777777" w:rsidR="001A2784" w:rsidRDefault="001A2784" w:rsidP="00497A82">
      <w:pPr>
        <w:tabs>
          <w:tab w:val="left" w:pos="5760"/>
        </w:tabs>
        <w:spacing w:before="71"/>
        <w:ind w:right="889"/>
        <w:rPr>
          <w:b/>
          <w:spacing w:val="11"/>
          <w:w w:val="115"/>
        </w:rPr>
      </w:pPr>
    </w:p>
    <w:p w14:paraId="23DD62B9" w14:textId="77777777" w:rsidR="001A2784" w:rsidRDefault="001A2784"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158D4BF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r w:rsidR="009A6D3F">
        <w:rPr>
          <w:spacing w:val="-2"/>
        </w:rPr>
        <w:t>e</w:t>
      </w:r>
    </w:p>
    <w:p w14:paraId="5362B7E5" w14:textId="77777777" w:rsidR="009A6D3F" w:rsidRPr="001A2784" w:rsidRDefault="009A6D3F" w:rsidP="001A2784">
      <w:pPr>
        <w:jc w:val="center"/>
        <w:rPr>
          <w:rStyle w:val="Forte"/>
          <w:rFonts w:ascii="Tahoma" w:hAnsi="Tahoma" w:cs="Tahoma"/>
          <w:sz w:val="24"/>
          <w:szCs w:val="24"/>
        </w:rPr>
      </w:pPr>
      <w:r w:rsidRPr="001A2784">
        <w:rPr>
          <w:rStyle w:val="Forte"/>
          <w:rFonts w:ascii="Tahoma" w:hAnsi="Tahoma" w:cs="Tahoma"/>
          <w:b w:val="0"/>
          <w:bCs w:val="0"/>
          <w:sz w:val="24"/>
          <w:szCs w:val="24"/>
        </w:rPr>
        <w:lastRenderedPageBreak/>
        <w:t>ANEXO V</w:t>
      </w:r>
    </w:p>
    <w:p w14:paraId="53FC2D8B" w14:textId="77777777" w:rsidR="002E58E6" w:rsidRPr="00ED684E" w:rsidRDefault="002E58E6" w:rsidP="002E58E6">
      <w:pPr>
        <w:jc w:val="center"/>
        <w:rPr>
          <w:b/>
          <w:sz w:val="28"/>
          <w:szCs w:val="28"/>
        </w:rPr>
      </w:pPr>
      <w:r w:rsidRPr="00ED684E">
        <w:rPr>
          <w:b/>
          <w:sz w:val="28"/>
          <w:szCs w:val="28"/>
        </w:rPr>
        <w:t>TERMO DE REFERÊNCIA (TR)</w:t>
      </w:r>
    </w:p>
    <w:p w14:paraId="0C6C0A09" w14:textId="77777777" w:rsidR="002E58E6" w:rsidRDefault="002E58E6" w:rsidP="002E58E6">
      <w:pPr>
        <w:jc w:val="both"/>
        <w:rPr>
          <w:b/>
          <w:color w:val="000000"/>
          <w:sz w:val="28"/>
          <w:szCs w:val="28"/>
        </w:rPr>
      </w:pPr>
    </w:p>
    <w:p w14:paraId="27C9BB43" w14:textId="77777777" w:rsidR="002E58E6" w:rsidRPr="007F0ED2" w:rsidRDefault="002E58E6" w:rsidP="002E58E6">
      <w:pPr>
        <w:jc w:val="both"/>
        <w:rPr>
          <w:rFonts w:cs="Calibri"/>
          <w:b/>
          <w:color w:val="0D0D0D"/>
          <w:shd w:val="clear" w:color="auto" w:fill="FFFFFF"/>
        </w:rPr>
      </w:pPr>
      <w:r w:rsidRPr="007F0ED2">
        <w:rPr>
          <w:rFonts w:cs="Calibri"/>
          <w:b/>
          <w:color w:val="0D0D0D"/>
          <w:shd w:val="clear" w:color="auto" w:fill="FFFFFF"/>
        </w:rPr>
        <w:t>1 - DEFINIÇÃO DO OBJETO</w:t>
      </w:r>
    </w:p>
    <w:p w14:paraId="0121B177" w14:textId="77777777" w:rsidR="002E58E6" w:rsidRDefault="002E58E6" w:rsidP="002E58E6">
      <w:pPr>
        <w:jc w:val="both"/>
      </w:pPr>
      <w:r w:rsidRPr="0026775C">
        <w:t xml:space="preserve">O presente Termo de Referência tem por objeto a aquisição de 01 (um) cesto aéreo em fibra de vidro para adaptação em caminhão munck pertencente à frota municipal, confeccionado em fibra de vidro de alta resistência, com estrutura reforçada e apropriada para serviços em altura, compatível com o caminhão munck do município, incluindo sistema de adaptação e fixação, instalação completa, suportes, ferragens, fixadores e acessórios necessários ao adequado funcionamento do equipamento.  </w:t>
      </w:r>
    </w:p>
    <w:p w14:paraId="04A1D795" w14:textId="77777777" w:rsidR="002E58E6" w:rsidRDefault="002E58E6" w:rsidP="002E58E6">
      <w:pPr>
        <w:jc w:val="both"/>
      </w:pPr>
      <w:r w:rsidRPr="0026775C">
        <w:t xml:space="preserve">A presente aquisição destina-se à substituição de equipamento preexistente que se encontra com avarias estruturais graves e severo comprometimento de sua matriz de fibra, com a finalidade de restabelecer de forma imediata a regularidade e a incolumidade física dos operadores em serviços em altura na rede de infraestrutura e iluminação do Município de Rifaina/SP.  </w:t>
      </w:r>
    </w:p>
    <w:p w14:paraId="4FD82F31" w14:textId="77777777" w:rsidR="002E58E6" w:rsidRPr="005C086A" w:rsidRDefault="002E58E6" w:rsidP="002E58E6">
      <w:pPr>
        <w:jc w:val="both"/>
        <w:rPr>
          <w:rFonts w:cs="Calibri"/>
          <w:bCs/>
          <w:color w:val="0D0D0D"/>
          <w:shd w:val="clear" w:color="auto" w:fill="FFFFFF"/>
        </w:rPr>
      </w:pPr>
      <w:r w:rsidRPr="0026775C">
        <w:t>O fornecimento deverá contemplar a entrega integral do equipamento novo e sem uso, com geometria de acoplamento perfeitamente compatível com a lança do guindauto municipal atual, acompanhado obrigatoriamente de certificado de conformidade, atendendo de forma estrita às exigências contidas nas Normas Regulamentadoras NR-10 e NR-12 do Ministério do Trabalho e Emprego, e demais normas aplicáveis.</w:t>
      </w:r>
    </w:p>
    <w:p w14:paraId="33975BC0" w14:textId="77777777" w:rsidR="002E58E6" w:rsidRPr="00ED684E" w:rsidRDefault="002E58E6" w:rsidP="002E58E6">
      <w:pPr>
        <w:jc w:val="both"/>
        <w:rPr>
          <w:rFonts w:cs="Calibri"/>
          <w:b/>
          <w:color w:val="0D0D0D"/>
          <w:shd w:val="clear" w:color="auto" w:fill="FFFFFF"/>
        </w:rPr>
      </w:pPr>
      <w:r w:rsidRPr="00E93205">
        <w:rPr>
          <w:rFonts w:cs="Calibri"/>
          <w:b/>
          <w:color w:val="0D0D0D"/>
          <w:shd w:val="clear" w:color="auto" w:fill="FFFFFF"/>
        </w:rPr>
        <w:t>2 – FUNDAMENTAÇÃO DA CONTRATAÇÃO</w:t>
      </w:r>
    </w:p>
    <w:p w14:paraId="50A7B362" w14:textId="77777777" w:rsidR="002E58E6" w:rsidRPr="0026775C" w:rsidRDefault="002E58E6" w:rsidP="002E58E6">
      <w:pPr>
        <w:jc w:val="both"/>
        <w:rPr>
          <w:rFonts w:cs="Calibri"/>
          <w:bCs/>
          <w:color w:val="0D0D0D"/>
          <w:shd w:val="clear" w:color="auto" w:fill="FFFFFF"/>
        </w:rPr>
      </w:pPr>
      <w:r w:rsidRPr="0026775C">
        <w:rPr>
          <w:rFonts w:cs="Calibri"/>
          <w:bCs/>
          <w:color w:val="0D0D0D"/>
          <w:shd w:val="clear" w:color="auto" w:fill="FFFFFF"/>
        </w:rPr>
        <w:t xml:space="preserve">A fundamentação para a presente contratação ampara-se no dever da Administração Pública de garantir um ambiente de trabalho seguro e salubre para os seus servidores, em estrita observância ao artigo 7º, inciso XXII, da Constituição Federal, e no princípio da continuidade do serviço público essencial. </w:t>
      </w:r>
    </w:p>
    <w:p w14:paraId="4C99A040" w14:textId="77777777" w:rsidR="002E58E6" w:rsidRPr="0026775C" w:rsidRDefault="002E58E6" w:rsidP="002E58E6">
      <w:pPr>
        <w:jc w:val="both"/>
        <w:rPr>
          <w:rFonts w:cs="Calibri"/>
          <w:bCs/>
          <w:color w:val="0D0D0D"/>
          <w:shd w:val="clear" w:color="auto" w:fill="FFFFFF"/>
        </w:rPr>
      </w:pPr>
      <w:r w:rsidRPr="0026775C">
        <w:rPr>
          <w:rFonts w:cs="Calibri"/>
          <w:bCs/>
          <w:color w:val="0D0D0D"/>
          <w:shd w:val="clear" w:color="auto" w:fill="FFFFFF"/>
        </w:rPr>
        <w:t xml:space="preserve">A necessidade de substituição imediata do equipamento decorre da perda de sua estabilidade mecânica. A execução de serviços em altura na rede de iluminação e infraestrutura urbana com o cesto aéreo avariado configura descumprimento das normas federais compulsórias de segurança, sujeitando o Município a interdições por parte dos órgãos fiscalizadores e a responsabilização civil e criminal em caso de sinistros. </w:t>
      </w:r>
    </w:p>
    <w:p w14:paraId="3CA5956F" w14:textId="77777777" w:rsidR="002E58E6" w:rsidRPr="0026775C" w:rsidRDefault="002E58E6" w:rsidP="002E58E6">
      <w:pPr>
        <w:jc w:val="both"/>
        <w:rPr>
          <w:rFonts w:cs="Calibri"/>
          <w:bCs/>
          <w:color w:val="0D0D0D"/>
          <w:shd w:val="clear" w:color="auto" w:fill="FFFFFF"/>
        </w:rPr>
      </w:pPr>
      <w:r w:rsidRPr="0026775C">
        <w:rPr>
          <w:rFonts w:cs="Calibri"/>
          <w:bCs/>
          <w:color w:val="0D0D0D"/>
          <w:shd w:val="clear" w:color="auto" w:fill="FFFFFF"/>
        </w:rPr>
        <w:t>Tecnicamente, a aquisição fundamenta-se nos seguintes diplomas legais e normativos vigentes:</w:t>
      </w:r>
    </w:p>
    <w:p w14:paraId="3762A987" w14:textId="77777777" w:rsidR="002E58E6" w:rsidRPr="0026775C" w:rsidRDefault="002E58E6" w:rsidP="002E58E6">
      <w:pPr>
        <w:widowControl/>
        <w:numPr>
          <w:ilvl w:val="0"/>
          <w:numId w:val="60"/>
        </w:numPr>
        <w:autoSpaceDE/>
        <w:autoSpaceDN/>
        <w:spacing w:after="160"/>
        <w:jc w:val="both"/>
        <w:rPr>
          <w:rFonts w:cs="Calibri"/>
          <w:bCs/>
          <w:color w:val="0D0D0D"/>
          <w:shd w:val="clear" w:color="auto" w:fill="FFFFFF"/>
        </w:rPr>
      </w:pPr>
      <w:r w:rsidRPr="0026775C">
        <w:rPr>
          <w:rFonts w:cs="Calibri"/>
          <w:bCs/>
          <w:color w:val="0D0D0D"/>
          <w:shd w:val="clear" w:color="auto" w:fill="FFFFFF"/>
        </w:rPr>
        <w:t xml:space="preserve">Norma Regulamentadora nº 12 (NR-12), Anexo XII, do MTE: que estabelece os requisitos de segurança para guindautos com cestos acoplados; </w:t>
      </w:r>
    </w:p>
    <w:p w14:paraId="5F0E7097" w14:textId="77777777" w:rsidR="002E58E6" w:rsidRPr="0026775C" w:rsidRDefault="002E58E6" w:rsidP="002E58E6">
      <w:pPr>
        <w:widowControl/>
        <w:numPr>
          <w:ilvl w:val="0"/>
          <w:numId w:val="60"/>
        </w:numPr>
        <w:autoSpaceDE/>
        <w:autoSpaceDN/>
        <w:spacing w:after="160"/>
        <w:jc w:val="both"/>
        <w:rPr>
          <w:rFonts w:cs="Calibri"/>
          <w:bCs/>
          <w:color w:val="0D0D0D"/>
          <w:shd w:val="clear" w:color="auto" w:fill="FFFFFF"/>
        </w:rPr>
      </w:pPr>
      <w:r w:rsidRPr="0026775C">
        <w:rPr>
          <w:rFonts w:cs="Calibri"/>
          <w:bCs/>
          <w:color w:val="0D0D0D"/>
          <w:shd w:val="clear" w:color="auto" w:fill="FFFFFF"/>
        </w:rPr>
        <w:t>Norma Regulamentadora nº 10 (NR-10) do MTE: que regulamenta a segurança em instalações e serviços em eletricidade para proteção dos trabalhadores.</w:t>
      </w:r>
    </w:p>
    <w:p w14:paraId="480234CF" w14:textId="77777777" w:rsidR="002E58E6" w:rsidRDefault="002E58E6" w:rsidP="002E58E6">
      <w:pPr>
        <w:jc w:val="both"/>
        <w:rPr>
          <w:rFonts w:cs="Calibri"/>
          <w:bCs/>
          <w:color w:val="0D0D0D"/>
          <w:shd w:val="clear" w:color="auto" w:fill="FFFFFF"/>
        </w:rPr>
      </w:pPr>
    </w:p>
    <w:p w14:paraId="17B0CEE1" w14:textId="77777777" w:rsidR="002E58E6" w:rsidRDefault="002E58E6" w:rsidP="002E58E6">
      <w:pPr>
        <w:jc w:val="both"/>
        <w:rPr>
          <w:rFonts w:cs="Calibri"/>
          <w:bCs/>
          <w:color w:val="0D0D0D"/>
          <w:shd w:val="clear" w:color="auto" w:fill="FFFFFF"/>
        </w:rPr>
      </w:pPr>
    </w:p>
    <w:p w14:paraId="74FD53DE" w14:textId="77777777" w:rsidR="002E58E6" w:rsidRDefault="002E58E6" w:rsidP="002E58E6">
      <w:pPr>
        <w:jc w:val="both"/>
        <w:rPr>
          <w:rFonts w:cs="Calibri"/>
          <w:bCs/>
          <w:color w:val="0D0D0D"/>
          <w:shd w:val="clear" w:color="auto" w:fill="FFFFFF"/>
        </w:rPr>
      </w:pPr>
    </w:p>
    <w:p w14:paraId="35876C73" w14:textId="77777777" w:rsidR="002E58E6" w:rsidRPr="007234CE" w:rsidRDefault="002E58E6" w:rsidP="002E58E6">
      <w:pPr>
        <w:jc w:val="both"/>
        <w:rPr>
          <w:rFonts w:cs="Calibri"/>
          <w:b/>
          <w:bCs/>
          <w:color w:val="0D0D0D"/>
          <w:shd w:val="clear" w:color="auto" w:fill="FFFFFF"/>
        </w:rPr>
      </w:pPr>
      <w:r w:rsidRPr="007234CE">
        <w:rPr>
          <w:rFonts w:cs="Calibri"/>
          <w:b/>
          <w:bCs/>
          <w:color w:val="0D0D0D"/>
          <w:shd w:val="clear" w:color="auto" w:fill="FFFFFF"/>
        </w:rPr>
        <w:t>3 – DESCRIÇÃO DA SOLUÇÃO COMO UM TODO</w:t>
      </w:r>
    </w:p>
    <w:p w14:paraId="27585AE9" w14:textId="77777777" w:rsidR="002E58E6" w:rsidRPr="0026775C" w:rsidRDefault="002E58E6" w:rsidP="002E58E6">
      <w:pPr>
        <w:jc w:val="both"/>
        <w:rPr>
          <w:rFonts w:cs="Calibri"/>
          <w:bCs/>
          <w:color w:val="0D0D0D"/>
          <w:shd w:val="clear" w:color="auto" w:fill="FFFFFF"/>
        </w:rPr>
      </w:pPr>
      <w:r w:rsidRPr="0026775C">
        <w:rPr>
          <w:rFonts w:cs="Calibri"/>
          <w:bCs/>
          <w:color w:val="0D0D0D"/>
          <w:shd w:val="clear" w:color="auto" w:fill="FFFFFF"/>
        </w:rPr>
        <w:t xml:space="preserve">A solução consiste na aquisição de 01 (um) cesto aéreo individual em fibra de vidro com acessórios de segurança integrados e sistema de adaptação completo, destinado à pronta substituição do componente avariado no guindauto hidráulico (caminhão Munck) municipal. </w:t>
      </w:r>
    </w:p>
    <w:p w14:paraId="03A45C0A" w14:textId="77777777" w:rsidR="002E58E6" w:rsidRPr="0026775C" w:rsidRDefault="002E58E6" w:rsidP="002E58E6">
      <w:pPr>
        <w:jc w:val="both"/>
        <w:rPr>
          <w:rFonts w:cs="Calibri"/>
          <w:bCs/>
          <w:color w:val="0D0D0D"/>
          <w:shd w:val="clear" w:color="auto" w:fill="FFFFFF"/>
        </w:rPr>
      </w:pPr>
      <w:r w:rsidRPr="0026775C">
        <w:rPr>
          <w:rFonts w:cs="Calibri"/>
          <w:bCs/>
          <w:color w:val="0D0D0D"/>
          <w:shd w:val="clear" w:color="auto" w:fill="FFFFFF"/>
        </w:rPr>
        <w:t>Ciclo de Vida do Objeto:</w:t>
      </w:r>
    </w:p>
    <w:p w14:paraId="536B925F" w14:textId="77777777" w:rsidR="002E58E6" w:rsidRPr="0026775C" w:rsidRDefault="002E58E6" w:rsidP="002E58E6">
      <w:pPr>
        <w:widowControl/>
        <w:numPr>
          <w:ilvl w:val="0"/>
          <w:numId w:val="61"/>
        </w:numPr>
        <w:autoSpaceDE/>
        <w:autoSpaceDN/>
        <w:spacing w:after="160"/>
        <w:jc w:val="both"/>
        <w:rPr>
          <w:rFonts w:cs="Calibri"/>
          <w:bCs/>
          <w:color w:val="0D0D0D"/>
          <w:shd w:val="clear" w:color="auto" w:fill="FFFFFF"/>
        </w:rPr>
      </w:pPr>
      <w:r w:rsidRPr="0026775C">
        <w:rPr>
          <w:rFonts w:cs="Calibri"/>
          <w:bCs/>
          <w:color w:val="0D0D0D"/>
          <w:shd w:val="clear" w:color="auto" w:fill="FFFFFF"/>
        </w:rPr>
        <w:t xml:space="preserve">Fornecimento e Recebimento: Contratação de empresa especializada para a entrega do equipamento novo, sem uso, livre de vícios de fabricação ou trincas estruturais, acompanhado obrigatoriamente de certificados de conformidade com as normas NR-10 e NR-12. </w:t>
      </w:r>
    </w:p>
    <w:p w14:paraId="60DB1CD4" w14:textId="77777777" w:rsidR="002E58E6" w:rsidRPr="0026775C" w:rsidRDefault="002E58E6" w:rsidP="002E58E6">
      <w:pPr>
        <w:widowControl/>
        <w:numPr>
          <w:ilvl w:val="0"/>
          <w:numId w:val="61"/>
        </w:numPr>
        <w:autoSpaceDE/>
        <w:autoSpaceDN/>
        <w:spacing w:after="160"/>
        <w:jc w:val="both"/>
        <w:rPr>
          <w:rFonts w:cs="Calibri"/>
          <w:bCs/>
          <w:color w:val="0D0D0D"/>
          <w:shd w:val="clear" w:color="auto" w:fill="FFFFFF"/>
        </w:rPr>
      </w:pPr>
      <w:r w:rsidRPr="0026775C">
        <w:rPr>
          <w:rFonts w:cs="Calibri"/>
          <w:bCs/>
          <w:color w:val="0D0D0D"/>
          <w:shd w:val="clear" w:color="auto" w:fill="FFFFFF"/>
        </w:rPr>
        <w:t xml:space="preserve">Uso e Operação: O cesto será acoplado ao braço hidráulico do guindauto, restabelecendo a plena capacidade operacional e a segurança jurídica da municipalidade na execução de serviços de manutenção em altura e iluminação pública, garantindo proteção coletiva aos operadores. </w:t>
      </w:r>
    </w:p>
    <w:p w14:paraId="50EDD472" w14:textId="77777777" w:rsidR="002E58E6" w:rsidRPr="0026775C" w:rsidRDefault="002E58E6" w:rsidP="002E58E6">
      <w:pPr>
        <w:widowControl/>
        <w:numPr>
          <w:ilvl w:val="0"/>
          <w:numId w:val="61"/>
        </w:numPr>
        <w:autoSpaceDE/>
        <w:autoSpaceDN/>
        <w:spacing w:after="160"/>
        <w:jc w:val="both"/>
        <w:rPr>
          <w:rFonts w:cs="Calibri"/>
          <w:bCs/>
          <w:color w:val="0D0D0D"/>
          <w:shd w:val="clear" w:color="auto" w:fill="FFFFFF"/>
        </w:rPr>
      </w:pPr>
      <w:r w:rsidRPr="0026775C">
        <w:rPr>
          <w:rFonts w:cs="Calibri"/>
          <w:bCs/>
          <w:color w:val="0D0D0D"/>
          <w:shd w:val="clear" w:color="auto" w:fill="FFFFFF"/>
        </w:rPr>
        <w:t xml:space="preserve">Manutenção: O equipamento exige manutenção preditiva e preventiva simplificada, restrita a vistorias visuais diárias pré-operação e higienização da matriz de fibra para conservação de sua integridade estrutural, conforme preconiza a NR-12. </w:t>
      </w:r>
    </w:p>
    <w:p w14:paraId="4EFBF4AD" w14:textId="77777777" w:rsidR="002E58E6" w:rsidRPr="0026775C" w:rsidRDefault="002E58E6" w:rsidP="002E58E6">
      <w:pPr>
        <w:widowControl/>
        <w:numPr>
          <w:ilvl w:val="0"/>
          <w:numId w:val="61"/>
        </w:numPr>
        <w:autoSpaceDE/>
        <w:autoSpaceDN/>
        <w:spacing w:after="160"/>
        <w:jc w:val="both"/>
        <w:rPr>
          <w:rFonts w:cs="Calibri"/>
          <w:bCs/>
          <w:color w:val="0D0D0D"/>
          <w:shd w:val="clear" w:color="auto" w:fill="FFFFFF"/>
        </w:rPr>
      </w:pPr>
      <w:r w:rsidRPr="0026775C">
        <w:rPr>
          <w:rFonts w:cs="Calibri"/>
          <w:bCs/>
          <w:color w:val="0D0D0D"/>
          <w:shd w:val="clear" w:color="auto" w:fill="FFFFFF"/>
        </w:rPr>
        <w:lastRenderedPageBreak/>
        <w:t xml:space="preserve">Durabilidade: A estrutura em fibra de vidro possui alta resistência a intempéries (radiação UV e umidade) e estresse mecânico, com vida útil estimada superior a 5 (cinco) anos, desde que observadas as condições de operação, armazenamento e capacidade de carga nominal. </w:t>
      </w:r>
    </w:p>
    <w:p w14:paraId="32E673D4" w14:textId="77777777" w:rsidR="002E58E6" w:rsidRPr="0026775C" w:rsidRDefault="002E58E6" w:rsidP="002E58E6">
      <w:pPr>
        <w:widowControl/>
        <w:numPr>
          <w:ilvl w:val="0"/>
          <w:numId w:val="61"/>
        </w:numPr>
        <w:autoSpaceDE/>
        <w:autoSpaceDN/>
        <w:spacing w:after="160"/>
        <w:jc w:val="both"/>
        <w:rPr>
          <w:rFonts w:cs="Calibri"/>
          <w:bCs/>
          <w:color w:val="0D0D0D"/>
          <w:shd w:val="clear" w:color="auto" w:fill="FFFFFF"/>
        </w:rPr>
      </w:pPr>
      <w:r w:rsidRPr="0026775C">
        <w:rPr>
          <w:rFonts w:cs="Calibri"/>
          <w:bCs/>
          <w:color w:val="0D0D0D"/>
          <w:shd w:val="clear" w:color="auto" w:fill="FFFFFF"/>
        </w:rPr>
        <w:t xml:space="preserve">Desfazimento: Ao término de sua vida útil ou em caso de fadiga estrutural futura, o descarte do componente em fibra de vidro deverá seguir as diretrizes da Política Nacional de Resíduos Sólidos (Lei nº 12.305/10), por meio de destinação final ambientalmente adequada ou coprocessamento. </w:t>
      </w:r>
    </w:p>
    <w:p w14:paraId="4DF663D5" w14:textId="77777777" w:rsidR="002E58E6" w:rsidRPr="007234CE" w:rsidRDefault="002E58E6" w:rsidP="002E58E6">
      <w:pPr>
        <w:jc w:val="both"/>
        <w:rPr>
          <w:rFonts w:cs="Calibri"/>
          <w:bCs/>
          <w:color w:val="0D0D0D"/>
          <w:shd w:val="clear" w:color="auto" w:fill="FFFFFF"/>
        </w:rPr>
      </w:pPr>
      <w:r w:rsidRPr="0026775C">
        <w:rPr>
          <w:rFonts w:cs="Calibri"/>
          <w:bCs/>
          <w:color w:val="0D0D0D"/>
          <w:shd w:val="clear" w:color="auto" w:fill="FFFFFF"/>
        </w:rPr>
        <w:t xml:space="preserve">A solução proposta atende integralmente às necessidades da Administração, garantindo conformidade legal imediata, sustentabilidade e economicidade ao longo de todo o período de amortização do bem. </w:t>
      </w:r>
    </w:p>
    <w:p w14:paraId="0060B7BA" w14:textId="77777777" w:rsidR="002E58E6" w:rsidRPr="00015E64" w:rsidRDefault="002E58E6" w:rsidP="002E58E6">
      <w:pPr>
        <w:jc w:val="both"/>
        <w:rPr>
          <w:rFonts w:cs="Calibri"/>
          <w:b/>
          <w:bCs/>
          <w:color w:val="0D0D0D"/>
          <w:shd w:val="clear" w:color="auto" w:fill="FFFFFF"/>
        </w:rPr>
      </w:pPr>
      <w:r w:rsidRPr="00015E64">
        <w:rPr>
          <w:rFonts w:cs="Calibri"/>
          <w:b/>
          <w:bCs/>
          <w:color w:val="0D0D0D"/>
          <w:shd w:val="clear" w:color="auto" w:fill="FFFFFF"/>
        </w:rPr>
        <w:t>4 – REQUISITOS DA CONTRATAÇÃO</w:t>
      </w:r>
    </w:p>
    <w:p w14:paraId="197509C7" w14:textId="77777777" w:rsidR="002E58E6" w:rsidRPr="00965096" w:rsidRDefault="002E58E6" w:rsidP="002E58E6">
      <w:pPr>
        <w:jc w:val="both"/>
        <w:rPr>
          <w:rFonts w:cs="Calibri"/>
          <w:color w:val="0D0D0D"/>
          <w:shd w:val="clear" w:color="auto" w:fill="FFFFFF"/>
        </w:rPr>
      </w:pPr>
      <w:r w:rsidRPr="00965096">
        <w:rPr>
          <w:rFonts w:cs="Calibri"/>
          <w:color w:val="0D0D0D"/>
          <w:shd w:val="clear" w:color="auto" w:fill="FFFFFF"/>
        </w:rPr>
        <w:t xml:space="preserve">O equipamento fornecido deve ser comprovadamente 100% novo e de primeiro uso, fabricado em peça única de fibra de vidro de alta resistência e homogêneo, totalmente livre de bolhas, trincas, reparos prévios ou imperfeições de laminação. O cesto deve conter placa de identificação indelével com o nome do fabricante e número de série. </w:t>
      </w:r>
    </w:p>
    <w:p w14:paraId="3A04DB68" w14:textId="77777777" w:rsidR="002E58E6" w:rsidRPr="00965096" w:rsidRDefault="002E58E6" w:rsidP="002E58E6">
      <w:pPr>
        <w:jc w:val="both"/>
        <w:rPr>
          <w:rFonts w:cs="Calibri"/>
          <w:color w:val="0D0D0D"/>
          <w:shd w:val="clear" w:color="auto" w:fill="FFFFFF"/>
        </w:rPr>
      </w:pPr>
      <w:r w:rsidRPr="00965096">
        <w:rPr>
          <w:rFonts w:cs="Calibri"/>
          <w:color w:val="0D0D0D"/>
          <w:shd w:val="clear" w:color="auto" w:fill="FFFFFF"/>
        </w:rPr>
        <w:t xml:space="preserve">O suporte metálico de acoplamento integrado deve garantir perfeita compatibilidade geométrica e travamento mecânico seguro na ponta da lança do guindauto (caminhão Munck) da municipalidade, seguindo o gabarito padrão universal de mercado. No ato da entrega, o objeto deverá vir acompanhado obrigatoriamente do Manual Técnico em português e do Certificado de Conformidade com as normas NR-10 e NR-12 (Anexo XII). </w:t>
      </w:r>
    </w:p>
    <w:p w14:paraId="6761EAE5" w14:textId="77777777" w:rsidR="002E58E6" w:rsidRPr="00965096" w:rsidRDefault="002E58E6" w:rsidP="002E58E6">
      <w:pPr>
        <w:jc w:val="both"/>
        <w:rPr>
          <w:rFonts w:cs="Calibri"/>
          <w:color w:val="0D0D0D"/>
          <w:shd w:val="clear" w:color="auto" w:fill="FFFFFF"/>
        </w:rPr>
      </w:pPr>
      <w:r w:rsidRPr="00965096">
        <w:rPr>
          <w:rFonts w:cs="Calibri"/>
          <w:color w:val="0D0D0D"/>
          <w:shd w:val="clear" w:color="auto" w:fill="FFFFFF"/>
        </w:rPr>
        <w:t>O prazo de garantia técnica será de no mínimo 12 (doze) meses contra defeitos de fabricação ou delaminação. O recebimento definitivo fica condicionado à inspeção técnica da Engenharia do Município em até 5 (cinco) dias úteis após a entrega; qualquer desconformidade visual, mecânica ou documental ensejará a rejeição integral do objeto, devendo a contratada retirá-lo e substituí-lo às suas expensas no prazo máximo de 10 (dez) dias corridos.</w:t>
      </w:r>
    </w:p>
    <w:p w14:paraId="327D3580" w14:textId="77777777" w:rsidR="002E58E6" w:rsidRPr="007234CE" w:rsidRDefault="002E58E6" w:rsidP="002E58E6">
      <w:pPr>
        <w:ind w:left="720"/>
        <w:jc w:val="both"/>
        <w:rPr>
          <w:rFonts w:cs="Calibri"/>
          <w:bCs/>
          <w:color w:val="0D0D0D"/>
          <w:shd w:val="clear" w:color="auto" w:fill="FFFFFF"/>
        </w:rPr>
      </w:pPr>
    </w:p>
    <w:p w14:paraId="087A2EF8" w14:textId="77777777" w:rsidR="002E58E6" w:rsidRPr="003E02DB" w:rsidRDefault="002E58E6" w:rsidP="002E58E6">
      <w:pPr>
        <w:jc w:val="both"/>
        <w:rPr>
          <w:rFonts w:cs="Calibri"/>
          <w:b/>
          <w:color w:val="0D0D0D"/>
          <w:shd w:val="clear" w:color="auto" w:fill="FFFFFF"/>
        </w:rPr>
      </w:pPr>
      <w:r w:rsidRPr="003E02DB">
        <w:rPr>
          <w:rFonts w:cs="Calibri"/>
          <w:b/>
          <w:bCs/>
          <w:color w:val="0D0D0D"/>
          <w:shd w:val="clear" w:color="auto" w:fill="FFFFFF"/>
        </w:rPr>
        <w:t>5 – MODELO DE EXECUÇÃO DO OBJETO</w:t>
      </w:r>
    </w:p>
    <w:p w14:paraId="52688DCD" w14:textId="77777777" w:rsidR="002E58E6" w:rsidRDefault="002E58E6" w:rsidP="002E58E6">
      <w:pPr>
        <w:jc w:val="both"/>
        <w:rPr>
          <w:rFonts w:cs="Calibri"/>
          <w:bCs/>
          <w:color w:val="0D0D0D"/>
          <w:shd w:val="clear" w:color="auto" w:fill="FFFFFF"/>
        </w:rPr>
      </w:pPr>
      <w:r w:rsidRPr="00965096">
        <w:rPr>
          <w:rFonts w:cs="Calibri"/>
          <w:bCs/>
          <w:color w:val="0D0D0D"/>
          <w:shd w:val="clear" w:color="auto" w:fill="FFFFFF"/>
        </w:rPr>
        <w:t>O modelo de execução do objeto consistirá no fornecimento integral, sob o regime de execução indireta por preço global, compreendendo todas as etapas logísticas, operacionais e documentais necessárias à entrega definitiva do equipamento nas dependências da municipalidade, conforme as seguintes diretrizes:</w:t>
      </w:r>
    </w:p>
    <w:p w14:paraId="1014C3AC" w14:textId="77777777" w:rsidR="002E58E6" w:rsidRDefault="002E58E6" w:rsidP="002E58E6">
      <w:pPr>
        <w:widowControl/>
        <w:numPr>
          <w:ilvl w:val="0"/>
          <w:numId w:val="56"/>
        </w:numPr>
        <w:autoSpaceDE/>
        <w:autoSpaceDN/>
        <w:spacing w:after="160"/>
        <w:jc w:val="both"/>
        <w:rPr>
          <w:rFonts w:cs="Calibri"/>
          <w:bCs/>
          <w:color w:val="0D0D0D"/>
          <w:shd w:val="clear" w:color="auto" w:fill="FFFFFF"/>
        </w:rPr>
      </w:pPr>
      <w:r w:rsidRPr="00965096">
        <w:rPr>
          <w:rFonts w:cs="Calibri"/>
          <w:color w:val="0D0D0D"/>
          <w:shd w:val="clear" w:color="auto" w:fill="FFFFFF"/>
        </w:rPr>
        <w:t>Faturamento e Prazo de Entrega:</w:t>
      </w:r>
      <w:r w:rsidRPr="00965096">
        <w:rPr>
          <w:rFonts w:cs="Calibri"/>
          <w:bCs/>
          <w:color w:val="0D0D0D"/>
          <w:shd w:val="clear" w:color="auto" w:fill="FFFFFF"/>
        </w:rPr>
        <w:t xml:space="preserve"> A empresa contratada deverá proceder ao faturamento do objeto e realizar a sua entrega física definitiva no prazo impreterível de 30 (trinta) dias corridos, contados a partir do recebimento da Nota de Empenho ou da assinatura do instrumento contratual.</w:t>
      </w:r>
    </w:p>
    <w:p w14:paraId="07A35AEE" w14:textId="77777777" w:rsidR="002E58E6" w:rsidRPr="00965096" w:rsidRDefault="002E58E6" w:rsidP="002E58E6">
      <w:pPr>
        <w:widowControl/>
        <w:numPr>
          <w:ilvl w:val="0"/>
          <w:numId w:val="56"/>
        </w:numPr>
        <w:autoSpaceDE/>
        <w:autoSpaceDN/>
        <w:spacing w:after="160"/>
        <w:jc w:val="both"/>
        <w:rPr>
          <w:rFonts w:cs="Calibri"/>
          <w:color w:val="0D0D0D"/>
          <w:shd w:val="clear" w:color="auto" w:fill="FFFFFF"/>
        </w:rPr>
      </w:pPr>
      <w:r w:rsidRPr="00965096">
        <w:rPr>
          <w:rFonts w:cs="Calibri"/>
          <w:color w:val="0D0D0D"/>
          <w:shd w:val="clear" w:color="auto" w:fill="FFFFFF"/>
        </w:rPr>
        <w:t>Logística e Descarga: O transporte, frete, seguro, descarregamento e movimentação do cesto aéreo até o local designado pela Administração serão de inteira e exclusiva responsabilidade da contratada, correndo por sua conta todos os riscos e custos operacionais decorrentes, inclusive eventuais avarias causadas durante o trânsito do material.</w:t>
      </w:r>
    </w:p>
    <w:p w14:paraId="20E40DD7" w14:textId="77777777" w:rsidR="002E58E6" w:rsidRPr="00965096" w:rsidRDefault="002E58E6" w:rsidP="002E58E6">
      <w:pPr>
        <w:widowControl/>
        <w:numPr>
          <w:ilvl w:val="0"/>
          <w:numId w:val="56"/>
        </w:numPr>
        <w:autoSpaceDE/>
        <w:autoSpaceDN/>
        <w:spacing w:after="160"/>
        <w:jc w:val="both"/>
        <w:rPr>
          <w:rFonts w:cs="Calibri"/>
          <w:color w:val="0D0D0D"/>
          <w:shd w:val="clear" w:color="auto" w:fill="FFFFFF"/>
        </w:rPr>
      </w:pPr>
      <w:r w:rsidRPr="00965096">
        <w:rPr>
          <w:rFonts w:cs="Calibri"/>
          <w:color w:val="0D0D0D"/>
          <w:shd w:val="clear" w:color="auto" w:fill="FFFFFF"/>
        </w:rPr>
        <w:t>Agendamento da Entrega: A entrega física do objeto deverá ser comunicada e agendada com antecedência mínima de 48 (quarenta e oito) horas junto ao setor responsável da municipalidade, devendo ocorrer estritamente dentro dos dias e horários de expediente administrativo regular.</w:t>
      </w:r>
    </w:p>
    <w:p w14:paraId="67F3BF7A" w14:textId="77777777" w:rsidR="002E58E6" w:rsidRPr="00965096" w:rsidRDefault="002E58E6" w:rsidP="002E58E6">
      <w:pPr>
        <w:widowControl/>
        <w:numPr>
          <w:ilvl w:val="0"/>
          <w:numId w:val="56"/>
        </w:numPr>
        <w:autoSpaceDE/>
        <w:autoSpaceDN/>
        <w:spacing w:after="160"/>
        <w:jc w:val="both"/>
        <w:rPr>
          <w:rFonts w:cs="Calibri"/>
          <w:color w:val="0D0D0D"/>
          <w:shd w:val="clear" w:color="auto" w:fill="FFFFFF"/>
        </w:rPr>
      </w:pPr>
      <w:r w:rsidRPr="00965096">
        <w:rPr>
          <w:rFonts w:cs="Calibri"/>
          <w:color w:val="0D0D0D"/>
          <w:shd w:val="clear" w:color="auto" w:fill="FFFFFF"/>
        </w:rPr>
        <w:t>Obrigações Gerais de Execução: A contratada vincula-se a entregar o equipamento em perfeito estado de conservação, acompanhado de toda a documentação técnica exigida (manuais e certificados de conformidade com as normas NR-10 e NR-12), sob pena de imediata recusa de recebimento e aplicação das sanções legais cabíveis por inadimplemento contratual.</w:t>
      </w:r>
    </w:p>
    <w:p w14:paraId="0D05AB60" w14:textId="77777777" w:rsidR="002E58E6" w:rsidRPr="00FB6B14" w:rsidRDefault="002E58E6" w:rsidP="002E58E6">
      <w:pPr>
        <w:jc w:val="both"/>
        <w:rPr>
          <w:rFonts w:cs="Calibri"/>
          <w:b/>
          <w:color w:val="0D0D0D"/>
          <w:shd w:val="clear" w:color="auto" w:fill="FFFFFF"/>
        </w:rPr>
      </w:pPr>
      <w:r w:rsidRPr="00FB6B14">
        <w:rPr>
          <w:rFonts w:cs="Calibri"/>
          <w:b/>
          <w:color w:val="0D0D0D"/>
          <w:shd w:val="clear" w:color="auto" w:fill="FFFFFF"/>
        </w:rPr>
        <w:t>6 – MODELO DE GESTÃO DO CONTRATO</w:t>
      </w:r>
    </w:p>
    <w:p w14:paraId="2D8C459D" w14:textId="77777777" w:rsidR="002E58E6" w:rsidRDefault="002E58E6" w:rsidP="002E58E6">
      <w:pPr>
        <w:jc w:val="both"/>
        <w:rPr>
          <w:rFonts w:cs="Calibri"/>
        </w:rPr>
      </w:pPr>
      <w:r>
        <w:rPr>
          <w:rFonts w:cs="Calibri"/>
        </w:rPr>
        <w:t>Gestão do contrato segundo a portaria municipal 464.</w:t>
      </w:r>
    </w:p>
    <w:p w14:paraId="7957534D" w14:textId="77777777" w:rsidR="002E58E6" w:rsidRDefault="002E58E6" w:rsidP="002E58E6">
      <w:pPr>
        <w:jc w:val="both"/>
        <w:rPr>
          <w:rFonts w:cs="Calibri"/>
          <w:b/>
          <w:bCs/>
        </w:rPr>
      </w:pPr>
      <w:r w:rsidRPr="00FB6B14">
        <w:rPr>
          <w:rFonts w:cs="Calibri"/>
          <w:b/>
          <w:bCs/>
        </w:rPr>
        <w:t>Fiscal de contrato</w:t>
      </w:r>
    </w:p>
    <w:p w14:paraId="2623A4D0" w14:textId="77777777" w:rsidR="002E58E6" w:rsidRPr="007C0A43" w:rsidRDefault="002E58E6" w:rsidP="002E58E6">
      <w:pPr>
        <w:rPr>
          <w:rFonts w:ascii="Arial" w:hAnsi="Arial" w:cs="Arial"/>
        </w:rPr>
      </w:pPr>
      <w:r w:rsidRPr="001C68C7">
        <w:rPr>
          <w:rFonts w:ascii="Aptos" w:eastAsia="Aptos" w:hAnsi="Aptos"/>
        </w:rPr>
        <w:t>Engº Oscar Luiz Berti</w:t>
      </w:r>
      <w:r w:rsidRPr="001C68C7">
        <w:rPr>
          <w:rFonts w:ascii="Aptos" w:eastAsia="Aptos" w:hAnsi="Aptos"/>
        </w:rPr>
        <w:br/>
        <w:t>Secretário Municipal de Obras</w:t>
      </w:r>
      <w:r w:rsidRPr="001C68C7">
        <w:rPr>
          <w:rFonts w:ascii="Aptos" w:eastAsia="Aptos" w:hAnsi="Aptos"/>
        </w:rPr>
        <w:br/>
        <w:t>CREA-SP 5060260041</w:t>
      </w:r>
    </w:p>
    <w:p w14:paraId="40769282" w14:textId="77777777" w:rsidR="002E58E6" w:rsidRDefault="002E58E6" w:rsidP="002E58E6">
      <w:pPr>
        <w:jc w:val="both"/>
        <w:rPr>
          <w:rFonts w:cs="Calibri"/>
        </w:rPr>
      </w:pPr>
    </w:p>
    <w:p w14:paraId="1FDF61FD" w14:textId="77777777" w:rsidR="002E58E6" w:rsidRPr="00323242" w:rsidRDefault="002E58E6" w:rsidP="002E58E6">
      <w:pPr>
        <w:jc w:val="both"/>
        <w:rPr>
          <w:rFonts w:cs="Calibri"/>
          <w:b/>
          <w:color w:val="0D0D0D"/>
          <w:shd w:val="clear" w:color="auto" w:fill="FFFFFF"/>
        </w:rPr>
      </w:pPr>
      <w:r w:rsidRPr="00323242">
        <w:rPr>
          <w:rFonts w:cs="Calibri"/>
          <w:b/>
          <w:color w:val="0D0D0D"/>
          <w:shd w:val="clear" w:color="auto" w:fill="FFFFFF"/>
        </w:rPr>
        <w:t>7 - CRITÉRIOS DE MEDIÇÃO E DE PAGAMENTO</w:t>
      </w:r>
    </w:p>
    <w:p w14:paraId="57BEFBCE" w14:textId="77777777" w:rsidR="002E58E6" w:rsidRPr="002005FD" w:rsidRDefault="002E58E6" w:rsidP="002E58E6">
      <w:pPr>
        <w:pBdr>
          <w:top w:val="nil"/>
          <w:left w:val="nil"/>
          <w:bottom w:val="nil"/>
          <w:right w:val="nil"/>
          <w:between w:val="nil"/>
        </w:pBdr>
        <w:spacing w:before="225" w:after="225"/>
        <w:jc w:val="both"/>
      </w:pPr>
      <w:r w:rsidRPr="002005FD">
        <w:lastRenderedPageBreak/>
        <w:t>Por tratar-se de fornecimento integral de bem manufaturado sob regime de preço global, não haverá cronograma de medições parciais, adotando-se o critério de medição única e integral após a entrega definitiva do objeto, em estrita observância às seguintes condições:</w:t>
      </w:r>
    </w:p>
    <w:p w14:paraId="54CEDFF5" w14:textId="77777777" w:rsidR="002E58E6" w:rsidRPr="002005FD" w:rsidRDefault="002E58E6" w:rsidP="002E58E6">
      <w:pPr>
        <w:widowControl/>
        <w:numPr>
          <w:ilvl w:val="0"/>
          <w:numId w:val="57"/>
        </w:numPr>
        <w:pBdr>
          <w:top w:val="nil"/>
          <w:left w:val="nil"/>
          <w:bottom w:val="nil"/>
          <w:right w:val="nil"/>
          <w:between w:val="nil"/>
        </w:pBdr>
        <w:autoSpaceDE/>
        <w:autoSpaceDN/>
        <w:spacing w:before="225" w:after="225" w:line="259" w:lineRule="auto"/>
        <w:jc w:val="both"/>
      </w:pPr>
      <w:r w:rsidRPr="002005FD">
        <w:rPr>
          <w:b/>
          <w:bCs/>
        </w:rPr>
        <w:t>Critério de Medição (Adimplemento):</w:t>
      </w:r>
      <w:r w:rsidRPr="002005FD">
        <w:t xml:space="preserve"> A medição e a consequente liquidação da despesa ocorrerão em ato único, mediante a emissão do Termo de Recebimento Definitivo por parte da Engenharia ou fiscalização do Município. Este termo atestará a conformidade física do cesto aéreo, o perfeito funcionamento dos encaixes mecânicos e a entrega integral da documentação técnica obrigatória (Laudo Dielétrico para </w:t>
      </w:r>
      <w:r w:rsidRPr="002005FD">
        <w:rPr>
          <w:b/>
          <w:bCs/>
        </w:rPr>
        <w:t>Classe B</w:t>
      </w:r>
      <w:r w:rsidRPr="002005FD">
        <w:t xml:space="preserve"> com ART e Certificações NR-10 e NR-12).</w:t>
      </w:r>
    </w:p>
    <w:p w14:paraId="1F7296D8" w14:textId="77777777" w:rsidR="002E58E6" w:rsidRPr="002005FD" w:rsidRDefault="002E58E6" w:rsidP="002E58E6">
      <w:pPr>
        <w:widowControl/>
        <w:numPr>
          <w:ilvl w:val="0"/>
          <w:numId w:val="57"/>
        </w:numPr>
        <w:pBdr>
          <w:top w:val="nil"/>
          <w:left w:val="nil"/>
          <w:bottom w:val="nil"/>
          <w:right w:val="nil"/>
          <w:between w:val="nil"/>
        </w:pBdr>
        <w:autoSpaceDE/>
        <w:autoSpaceDN/>
        <w:spacing w:before="225" w:after="225" w:line="259" w:lineRule="auto"/>
        <w:jc w:val="both"/>
      </w:pPr>
      <w:r w:rsidRPr="002005FD">
        <w:rPr>
          <w:b/>
          <w:bCs/>
        </w:rPr>
        <w:t>Do Documento Fiscal:</w:t>
      </w:r>
      <w:r w:rsidRPr="002005FD">
        <w:t xml:space="preserve"> Após a emissão do Termo de Recebimento Definitivo, a contratada estará autorizada a apresentar a Nota Fiscal Eletrônica (NF-e) correspondente ao valor integral do objeto, devidamente discriminada, acompanhada das certidões de regularidade fiscal (FGTS, CND Trabalhista, Receita Federal e Municipal) válidas.</w:t>
      </w:r>
    </w:p>
    <w:p w14:paraId="0A1191F9" w14:textId="77777777" w:rsidR="002E58E6" w:rsidRPr="002005FD" w:rsidRDefault="002E58E6" w:rsidP="002E58E6">
      <w:pPr>
        <w:widowControl/>
        <w:numPr>
          <w:ilvl w:val="0"/>
          <w:numId w:val="57"/>
        </w:numPr>
        <w:pBdr>
          <w:top w:val="nil"/>
          <w:left w:val="nil"/>
          <w:bottom w:val="nil"/>
          <w:right w:val="nil"/>
          <w:between w:val="nil"/>
        </w:pBdr>
        <w:autoSpaceDE/>
        <w:autoSpaceDN/>
        <w:spacing w:before="225" w:after="225" w:line="259" w:lineRule="auto"/>
        <w:jc w:val="both"/>
      </w:pPr>
      <w:r w:rsidRPr="002005FD">
        <w:rPr>
          <w:b/>
          <w:bCs/>
        </w:rPr>
        <w:t>Do Prazo de Pagamento:</w:t>
      </w:r>
      <w:r w:rsidRPr="002005FD">
        <w:t xml:space="preserve"> O pagamento será efetuado por meio de depósito bancário ou ordem bancária na conta corrente indicada pela contratada, no prazo de até 30 (trinta) dias, contados a partir da data de protocolo e aceitação da Nota Fiscal devidamente atestada pela fiscalização.</w:t>
      </w:r>
    </w:p>
    <w:p w14:paraId="5F19A518" w14:textId="77777777" w:rsidR="002E58E6" w:rsidRPr="002005FD" w:rsidRDefault="002E58E6" w:rsidP="002E58E6">
      <w:pPr>
        <w:widowControl/>
        <w:numPr>
          <w:ilvl w:val="0"/>
          <w:numId w:val="57"/>
        </w:numPr>
        <w:pBdr>
          <w:top w:val="nil"/>
          <w:left w:val="nil"/>
          <w:bottom w:val="nil"/>
          <w:right w:val="nil"/>
          <w:between w:val="nil"/>
        </w:pBdr>
        <w:autoSpaceDE/>
        <w:autoSpaceDN/>
        <w:spacing w:before="225" w:after="225" w:line="259" w:lineRule="auto"/>
        <w:jc w:val="both"/>
      </w:pPr>
      <w:r w:rsidRPr="002005FD">
        <w:rPr>
          <w:b/>
          <w:bCs/>
        </w:rPr>
        <w:t>Retenções e Penalidades:</w:t>
      </w:r>
      <w:r w:rsidRPr="002005FD">
        <w:t xml:space="preserve"> Nenhum pagamento será efetuado enquanto subsistir qualquer pendência de entrega documental ou técnica por parte da contratada. Caso ocorra atraso injustificado na entrega do objeto, serão retidos cautelarmente os valores correspondentes às multas moratórias contratuais devidas, sem prejuízo das demais sanções administrativas previstas na legislação vigente.</w:t>
      </w:r>
    </w:p>
    <w:p w14:paraId="75DF66ED" w14:textId="77777777" w:rsidR="002E58E6" w:rsidRDefault="002E58E6" w:rsidP="002E58E6">
      <w:pPr>
        <w:pBdr>
          <w:top w:val="nil"/>
          <w:left w:val="nil"/>
          <w:bottom w:val="nil"/>
          <w:right w:val="nil"/>
          <w:between w:val="nil"/>
        </w:pBdr>
        <w:spacing w:before="225" w:after="225"/>
        <w:jc w:val="both"/>
      </w:pPr>
    </w:p>
    <w:p w14:paraId="167C90CE" w14:textId="77777777" w:rsidR="002E58E6" w:rsidRPr="00015E64" w:rsidRDefault="002E58E6" w:rsidP="002E58E6">
      <w:pPr>
        <w:pBdr>
          <w:top w:val="nil"/>
          <w:left w:val="nil"/>
          <w:bottom w:val="nil"/>
          <w:right w:val="nil"/>
          <w:between w:val="nil"/>
        </w:pBdr>
        <w:spacing w:before="225" w:after="225"/>
        <w:jc w:val="both"/>
      </w:pPr>
    </w:p>
    <w:p w14:paraId="43CBE84E" w14:textId="77777777" w:rsidR="002E58E6" w:rsidRPr="00A4477E" w:rsidRDefault="002E58E6" w:rsidP="002E58E6">
      <w:pPr>
        <w:pBdr>
          <w:top w:val="nil"/>
          <w:left w:val="nil"/>
          <w:bottom w:val="nil"/>
          <w:right w:val="nil"/>
          <w:between w:val="nil"/>
        </w:pBdr>
        <w:spacing w:before="225" w:after="225"/>
        <w:jc w:val="both"/>
        <w:rPr>
          <w:rFonts w:cs="Calibri"/>
          <w:b/>
        </w:rPr>
      </w:pPr>
      <w:r w:rsidRPr="00A4477E">
        <w:rPr>
          <w:rFonts w:cs="Calibri"/>
          <w:b/>
        </w:rPr>
        <w:t>8 - FORMA E CRITÉRIOS DE SELEÇÃO DO FORNECEDOR</w:t>
      </w:r>
    </w:p>
    <w:p w14:paraId="009BDE64" w14:textId="77777777" w:rsidR="002E58E6" w:rsidRPr="002005FD" w:rsidRDefault="002E58E6" w:rsidP="002E58E6">
      <w:r w:rsidRPr="002005FD">
        <w:t>A escolha do fornecedor será realizada por meio de procedimento de Dispensa de Licitação Eletrônica, com fundamento no artigo 75, inciso II, combinado com o artigo 17, § 2º, ambos da Lei Federal nº 14.133/2021. O procedimento observará a devida publicidade em plataforma eletrônica oficial com abertura de prazo para disputa pública, permitindo o envio de lances competitivos por parte dos fornecedores interessados.</w:t>
      </w:r>
    </w:p>
    <w:p w14:paraId="76AF64F0" w14:textId="77777777" w:rsidR="002E58E6" w:rsidRPr="002005FD" w:rsidRDefault="002E58E6" w:rsidP="002E58E6">
      <w:pPr>
        <w:widowControl/>
        <w:numPr>
          <w:ilvl w:val="0"/>
          <w:numId w:val="58"/>
        </w:numPr>
        <w:autoSpaceDE/>
        <w:autoSpaceDN/>
      </w:pPr>
      <w:r w:rsidRPr="002005FD">
        <w:t>Do Critério de Julgamento: Em conformidade com o disposto no artigo 33, inciso I, da Lei Federal nº 14.133/2021, o critério para a seleção da proposta mais vantajosa decorrente da disputa na dispensa eletrônica publicada será o de MENOR PREÇO GLOBAL.</w:t>
      </w:r>
    </w:p>
    <w:p w14:paraId="41C03763" w14:textId="77777777" w:rsidR="002E58E6" w:rsidRDefault="002E58E6" w:rsidP="002E58E6">
      <w:pPr>
        <w:widowControl/>
        <w:numPr>
          <w:ilvl w:val="0"/>
          <w:numId w:val="58"/>
        </w:numPr>
        <w:autoSpaceDE/>
        <w:autoSpaceDN/>
      </w:pPr>
      <w:r w:rsidRPr="002005FD">
        <w:t>Da Forma de Processamento: A dispensa eletrônica será processada integralmente em ambiente virtual oficial, garantindo a isonomia, a transparência e a ampla competitividade entre os participantes.</w:t>
      </w:r>
    </w:p>
    <w:p w14:paraId="06199B13" w14:textId="77777777" w:rsidR="002E58E6" w:rsidRDefault="002E58E6" w:rsidP="002E58E6"/>
    <w:p w14:paraId="1F5ECDAB" w14:textId="77777777" w:rsidR="002E58E6" w:rsidRDefault="002E58E6" w:rsidP="002E58E6"/>
    <w:p w14:paraId="1304E194" w14:textId="77777777" w:rsidR="002E58E6" w:rsidRDefault="002E58E6" w:rsidP="002E58E6"/>
    <w:p w14:paraId="3D4EB70B" w14:textId="77777777" w:rsidR="002E58E6" w:rsidRPr="002005FD" w:rsidRDefault="002E58E6" w:rsidP="002E58E6"/>
    <w:p w14:paraId="0FD0F764" w14:textId="77777777" w:rsidR="002E58E6" w:rsidRDefault="002E58E6" w:rsidP="002E58E6"/>
    <w:p w14:paraId="5EAF7B5D" w14:textId="77777777" w:rsidR="002E58E6" w:rsidRPr="005B4121" w:rsidRDefault="002E58E6" w:rsidP="002E58E6">
      <w:pPr>
        <w:rPr>
          <w:rFonts w:cs="Calibri"/>
          <w:b/>
        </w:rPr>
      </w:pPr>
      <w:r w:rsidRPr="005B4121">
        <w:rPr>
          <w:rFonts w:cs="Calibri"/>
          <w:b/>
        </w:rPr>
        <w:t>9 - ESTIMATIVAS DO VALOR DA CONTRATAÇÃO</w:t>
      </w:r>
    </w:p>
    <w:p w14:paraId="0D1C75EE" w14:textId="77777777" w:rsidR="002E58E6" w:rsidRDefault="002E58E6" w:rsidP="002E58E6">
      <w:pPr>
        <w:jc w:val="both"/>
      </w:pPr>
    </w:p>
    <w:p w14:paraId="17E4E875" w14:textId="77777777" w:rsidR="002E58E6" w:rsidRDefault="002E58E6" w:rsidP="002E58E6">
      <w:pPr>
        <w:pBdr>
          <w:top w:val="nil"/>
          <w:left w:val="nil"/>
          <w:bottom w:val="nil"/>
          <w:right w:val="nil"/>
          <w:between w:val="nil"/>
        </w:pBdr>
        <w:spacing w:before="225" w:after="225"/>
        <w:jc w:val="both"/>
        <w:rPr>
          <w:rFonts w:cs="Calibri"/>
          <w:bCs/>
          <w:color w:val="0D0D0D"/>
          <w:shd w:val="clear" w:color="auto" w:fill="FFFFFF"/>
        </w:rPr>
      </w:pPr>
      <w:r w:rsidRPr="00965096">
        <w:rPr>
          <w:rFonts w:cs="Calibri"/>
          <w:bCs/>
          <w:color w:val="0D0D0D"/>
          <w:shd w:val="clear" w:color="auto" w:fill="FFFFFF"/>
        </w:rPr>
        <w:t>O valor estimado para a presente contratação foi apurado mediante regular pesquisa de preços de mercado, realizada junto a empresas especializadas no fornecimento de componentes em fibra de vidro. O preço de referência reflete fielmente as condições vigentes de mercado e encontra-se detalhado na tabela de custos estimada abaixo: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75"/>
        <w:gridCol w:w="940"/>
        <w:gridCol w:w="871"/>
        <w:gridCol w:w="1211"/>
        <w:gridCol w:w="1133"/>
      </w:tblGrid>
      <w:tr w:rsidR="002E58E6" w:rsidRPr="00D8430F" w14:paraId="15495055" w14:textId="77777777" w:rsidTr="00920296">
        <w:tc>
          <w:tcPr>
            <w:tcW w:w="667" w:type="dxa"/>
            <w:vAlign w:val="center"/>
          </w:tcPr>
          <w:p w14:paraId="43B67E6F" w14:textId="77777777" w:rsidR="002E58E6" w:rsidRPr="00D8430F" w:rsidRDefault="002E58E6" w:rsidP="00920296">
            <w:pPr>
              <w:jc w:val="center"/>
              <w:rPr>
                <w:rFonts w:cs="Calibri"/>
                <w:b/>
              </w:rPr>
            </w:pPr>
            <w:r>
              <w:rPr>
                <w:rFonts w:cs="Calibri"/>
                <w:b/>
              </w:rPr>
              <w:lastRenderedPageBreak/>
              <w:t>Item</w:t>
            </w:r>
          </w:p>
        </w:tc>
        <w:tc>
          <w:tcPr>
            <w:tcW w:w="4093" w:type="dxa"/>
            <w:vAlign w:val="center"/>
          </w:tcPr>
          <w:p w14:paraId="4B1D4F6D" w14:textId="77777777" w:rsidR="002E58E6" w:rsidRPr="00D8430F" w:rsidRDefault="002E58E6" w:rsidP="00920296">
            <w:pPr>
              <w:jc w:val="center"/>
              <w:rPr>
                <w:rFonts w:cs="Calibri"/>
                <w:b/>
              </w:rPr>
            </w:pPr>
            <w:r w:rsidRPr="00D8430F">
              <w:rPr>
                <w:rFonts w:cs="Calibri"/>
                <w:b/>
              </w:rPr>
              <w:t>Descrição</w:t>
            </w:r>
          </w:p>
        </w:tc>
        <w:tc>
          <w:tcPr>
            <w:tcW w:w="941" w:type="dxa"/>
            <w:vAlign w:val="center"/>
          </w:tcPr>
          <w:p w14:paraId="3E7CE00A" w14:textId="77777777" w:rsidR="002E58E6" w:rsidRPr="00D8430F" w:rsidRDefault="002E58E6" w:rsidP="00920296">
            <w:pPr>
              <w:jc w:val="center"/>
              <w:rPr>
                <w:rFonts w:cs="Calibri"/>
                <w:b/>
              </w:rPr>
            </w:pPr>
            <w:r w:rsidRPr="00D8430F">
              <w:rPr>
                <w:rFonts w:cs="Calibri"/>
                <w:b/>
              </w:rPr>
              <w:t>Unid.</w:t>
            </w:r>
          </w:p>
        </w:tc>
        <w:tc>
          <w:tcPr>
            <w:tcW w:w="849" w:type="dxa"/>
            <w:vAlign w:val="center"/>
          </w:tcPr>
          <w:p w14:paraId="57ABB87F" w14:textId="77777777" w:rsidR="002E58E6" w:rsidRPr="00D8430F" w:rsidRDefault="002E58E6" w:rsidP="00920296">
            <w:pPr>
              <w:jc w:val="center"/>
              <w:rPr>
                <w:rFonts w:cs="Calibri"/>
                <w:b/>
              </w:rPr>
            </w:pPr>
            <w:r w:rsidRPr="00D8430F">
              <w:rPr>
                <w:rFonts w:cs="Calibri"/>
                <w:b/>
              </w:rPr>
              <w:t>Quant.</w:t>
            </w:r>
          </w:p>
        </w:tc>
        <w:tc>
          <w:tcPr>
            <w:tcW w:w="1213" w:type="dxa"/>
            <w:vAlign w:val="center"/>
          </w:tcPr>
          <w:p w14:paraId="71D1CA4F" w14:textId="77777777" w:rsidR="002E58E6" w:rsidRPr="00D8430F" w:rsidRDefault="002E58E6" w:rsidP="00920296">
            <w:pPr>
              <w:jc w:val="center"/>
              <w:rPr>
                <w:rFonts w:cs="Calibri"/>
                <w:b/>
              </w:rPr>
            </w:pPr>
            <w:r w:rsidRPr="00D8430F">
              <w:rPr>
                <w:rFonts w:cs="Calibri"/>
                <w:b/>
              </w:rPr>
              <w:t>Valor</w:t>
            </w:r>
            <w:r>
              <w:rPr>
                <w:rFonts w:cs="Calibri"/>
                <w:b/>
              </w:rPr>
              <w:t xml:space="preserve"> Unit</w:t>
            </w:r>
            <w:r w:rsidRPr="00D8430F">
              <w:rPr>
                <w:rFonts w:cs="Calibri"/>
                <w:b/>
              </w:rPr>
              <w:t xml:space="preserve"> (R$)</w:t>
            </w:r>
          </w:p>
        </w:tc>
        <w:tc>
          <w:tcPr>
            <w:tcW w:w="1134" w:type="dxa"/>
            <w:vAlign w:val="center"/>
          </w:tcPr>
          <w:p w14:paraId="184B214D" w14:textId="77777777" w:rsidR="002E58E6" w:rsidRPr="00D8430F" w:rsidRDefault="002E58E6" w:rsidP="00920296">
            <w:pPr>
              <w:jc w:val="center"/>
              <w:rPr>
                <w:rFonts w:cs="Calibri"/>
                <w:b/>
              </w:rPr>
            </w:pPr>
            <w:r w:rsidRPr="00D8430F">
              <w:rPr>
                <w:rFonts w:cs="Calibri"/>
                <w:b/>
              </w:rPr>
              <w:t xml:space="preserve">Valor </w:t>
            </w:r>
            <w:r>
              <w:rPr>
                <w:rFonts w:cs="Calibri"/>
                <w:b/>
              </w:rPr>
              <w:t xml:space="preserve">Total </w:t>
            </w:r>
            <w:r w:rsidRPr="00D8430F">
              <w:rPr>
                <w:rFonts w:cs="Calibri"/>
                <w:b/>
              </w:rPr>
              <w:t>(R$)</w:t>
            </w:r>
          </w:p>
        </w:tc>
      </w:tr>
      <w:tr w:rsidR="002E58E6" w:rsidRPr="00D8430F" w14:paraId="745CB362" w14:textId="77777777" w:rsidTr="00920296">
        <w:tc>
          <w:tcPr>
            <w:tcW w:w="667" w:type="dxa"/>
            <w:vAlign w:val="center"/>
          </w:tcPr>
          <w:p w14:paraId="389B79B0" w14:textId="77777777" w:rsidR="002E58E6" w:rsidRPr="00D8430F" w:rsidRDefault="002E58E6" w:rsidP="00920296">
            <w:pPr>
              <w:jc w:val="center"/>
              <w:rPr>
                <w:rFonts w:cs="Calibri"/>
              </w:rPr>
            </w:pPr>
            <w:r w:rsidRPr="00D8430F">
              <w:rPr>
                <w:rFonts w:cs="Calibri"/>
              </w:rPr>
              <w:t>01</w:t>
            </w:r>
          </w:p>
        </w:tc>
        <w:tc>
          <w:tcPr>
            <w:tcW w:w="4093" w:type="dxa"/>
            <w:vAlign w:val="center"/>
          </w:tcPr>
          <w:p w14:paraId="3F98203E" w14:textId="77777777" w:rsidR="002E58E6" w:rsidRPr="002005FD" w:rsidRDefault="002E58E6" w:rsidP="00920296">
            <w:pPr>
              <w:jc w:val="center"/>
              <w:rPr>
                <w:rFonts w:cs="Calibri"/>
              </w:rPr>
            </w:pPr>
            <w:r w:rsidRPr="00965096">
              <w:rPr>
                <w:shd w:val="clear" w:color="auto" w:fill="FFFFFF"/>
              </w:rPr>
              <w:t>Cesto aéreo em fibra de vidro para adaptação em caminhão munck pertencente à frota municipal, confeccionado em fibra de vidro de alta resistência, com estrutura reforçada e apropriada para serviços em altura, compatível com o caminhão munck do município, incluindo sistema de adaptação e fixação, instalação completa, suportes, ferragens, fixadores e acessórios necessários, material resistente às intempéries e exposição solar, produto novo, sem uso anterior, com boas condições de estabilidade e segurança operacional, destinado ao transporte de operador e ferramentas para execução de serviços em altura.</w:t>
            </w:r>
          </w:p>
        </w:tc>
        <w:tc>
          <w:tcPr>
            <w:tcW w:w="941" w:type="dxa"/>
            <w:vAlign w:val="center"/>
          </w:tcPr>
          <w:p w14:paraId="4A19B30E" w14:textId="77777777" w:rsidR="002E58E6" w:rsidRPr="00D8430F" w:rsidRDefault="002E58E6" w:rsidP="00920296">
            <w:pPr>
              <w:jc w:val="center"/>
              <w:rPr>
                <w:rFonts w:cs="Calibri"/>
              </w:rPr>
            </w:pPr>
            <w:r>
              <w:rPr>
                <w:rFonts w:cs="Calibri"/>
              </w:rPr>
              <w:t>Unid.</w:t>
            </w:r>
          </w:p>
        </w:tc>
        <w:tc>
          <w:tcPr>
            <w:tcW w:w="849" w:type="dxa"/>
            <w:vAlign w:val="center"/>
          </w:tcPr>
          <w:p w14:paraId="56F6F355" w14:textId="77777777" w:rsidR="002E58E6" w:rsidRPr="00D8430F" w:rsidRDefault="002E58E6" w:rsidP="00920296">
            <w:pPr>
              <w:jc w:val="center"/>
              <w:rPr>
                <w:rFonts w:cs="Calibri"/>
              </w:rPr>
            </w:pPr>
            <w:r>
              <w:rPr>
                <w:rFonts w:cs="Calibri"/>
              </w:rPr>
              <w:t>01</w:t>
            </w:r>
          </w:p>
        </w:tc>
        <w:tc>
          <w:tcPr>
            <w:tcW w:w="1213" w:type="dxa"/>
            <w:vAlign w:val="center"/>
          </w:tcPr>
          <w:p w14:paraId="5AE1D626" w14:textId="77777777" w:rsidR="002E58E6" w:rsidRDefault="002E58E6" w:rsidP="00920296">
            <w:pPr>
              <w:jc w:val="center"/>
              <w:rPr>
                <w:rFonts w:cs="Calibri"/>
              </w:rPr>
            </w:pPr>
            <w:r w:rsidRPr="00965096">
              <w:rPr>
                <w:rFonts w:cs="Calibri"/>
              </w:rPr>
              <w:t>3.500,00</w:t>
            </w:r>
          </w:p>
        </w:tc>
        <w:tc>
          <w:tcPr>
            <w:tcW w:w="1134" w:type="dxa"/>
            <w:vAlign w:val="center"/>
          </w:tcPr>
          <w:p w14:paraId="24E15A94" w14:textId="77777777" w:rsidR="002E58E6" w:rsidRPr="00D8430F" w:rsidRDefault="002E58E6" w:rsidP="00920296">
            <w:pPr>
              <w:jc w:val="center"/>
              <w:rPr>
                <w:rFonts w:cs="Calibri"/>
              </w:rPr>
            </w:pPr>
            <w:r w:rsidRPr="00965096">
              <w:rPr>
                <w:rFonts w:cs="Calibri"/>
              </w:rPr>
              <w:t>3.500,00</w:t>
            </w:r>
          </w:p>
        </w:tc>
      </w:tr>
    </w:tbl>
    <w:p w14:paraId="235AABB7" w14:textId="77777777" w:rsidR="002E58E6" w:rsidRPr="00015E64" w:rsidRDefault="002E58E6" w:rsidP="002E58E6">
      <w:pPr>
        <w:pBdr>
          <w:top w:val="nil"/>
          <w:left w:val="nil"/>
          <w:bottom w:val="nil"/>
          <w:right w:val="nil"/>
          <w:between w:val="nil"/>
        </w:pBdr>
        <w:spacing w:before="225" w:after="225"/>
        <w:jc w:val="both"/>
        <w:rPr>
          <w:rFonts w:cs="Calibri"/>
          <w:bCs/>
          <w:color w:val="0D0D0D"/>
          <w:shd w:val="clear" w:color="auto" w:fill="FFFFFF"/>
        </w:rPr>
      </w:pPr>
    </w:p>
    <w:p w14:paraId="687A61B9" w14:textId="77777777" w:rsidR="002E58E6" w:rsidRDefault="002E58E6" w:rsidP="002E58E6">
      <w:pPr>
        <w:pBdr>
          <w:top w:val="nil"/>
          <w:left w:val="nil"/>
          <w:bottom w:val="nil"/>
          <w:right w:val="nil"/>
          <w:between w:val="nil"/>
        </w:pBdr>
        <w:spacing w:before="225" w:after="225"/>
        <w:jc w:val="both"/>
        <w:rPr>
          <w:rFonts w:cs="Calibri"/>
          <w:b/>
          <w:color w:val="0D0D0D"/>
          <w:shd w:val="clear" w:color="auto" w:fill="FFFFFF"/>
        </w:rPr>
      </w:pPr>
      <w:r w:rsidRPr="00965096">
        <w:rPr>
          <w:rFonts w:cs="Calibri"/>
          <w:bCs/>
          <w:color w:val="0D0D0D"/>
          <w:shd w:val="clear" w:color="auto" w:fill="FFFFFF"/>
        </w:rPr>
        <w:t>No valor total estimado constante na tabela acima, já estão inclusos todos os custos diretos e indiretos necessários para o perfeito fornecimento do objeto, tais como: matéria-prima, fabricação, testes de carga, além de frete/transporte (CIF) até o local de descarregamento, tributos, encargos trabalhistas, previdenciários, fiscais e comerciais, constituindo o limite máximo a ser admitido no procedimento de disputa da Dispensa Eletrônica.</w:t>
      </w:r>
    </w:p>
    <w:p w14:paraId="3A03D2AB" w14:textId="77777777" w:rsidR="002E58E6" w:rsidRPr="002F227B" w:rsidRDefault="002E58E6" w:rsidP="002E58E6">
      <w:pPr>
        <w:pBdr>
          <w:top w:val="nil"/>
          <w:left w:val="nil"/>
          <w:bottom w:val="nil"/>
          <w:right w:val="nil"/>
          <w:between w:val="nil"/>
        </w:pBdr>
        <w:spacing w:before="225" w:after="225"/>
        <w:jc w:val="both"/>
        <w:rPr>
          <w:rFonts w:cs="Calibri"/>
          <w:b/>
          <w:color w:val="0D0D0D"/>
          <w:shd w:val="clear" w:color="auto" w:fill="FFFFFF"/>
        </w:rPr>
      </w:pPr>
      <w:r w:rsidRPr="002F227B">
        <w:rPr>
          <w:rFonts w:cs="Calibri"/>
          <w:b/>
          <w:color w:val="0D0D0D"/>
          <w:shd w:val="clear" w:color="auto" w:fill="FFFFFF"/>
        </w:rPr>
        <w:t>10 - ADEQUAÇÃO ORÇAMENTÁRIA</w:t>
      </w:r>
    </w:p>
    <w:p w14:paraId="3FB5C981" w14:textId="77777777" w:rsidR="002E58E6" w:rsidRDefault="002E58E6" w:rsidP="002E58E6">
      <w:pPr>
        <w:pStyle w:val="SemEspaamento"/>
        <w:jc w:val="both"/>
      </w:pPr>
      <w:r>
        <w:t>Código da Ficha: 410</w:t>
      </w:r>
    </w:p>
    <w:p w14:paraId="3C003C78" w14:textId="77777777" w:rsidR="002E58E6" w:rsidRDefault="002E58E6" w:rsidP="002E58E6">
      <w:pPr>
        <w:pStyle w:val="SemEspaamento"/>
        <w:jc w:val="both"/>
      </w:pPr>
      <w:r>
        <w:t>Órgão: 02 PREFEITURA MUNICIPAL</w:t>
      </w:r>
    </w:p>
    <w:p w14:paraId="701CA2EE" w14:textId="77777777" w:rsidR="002E58E6" w:rsidRDefault="002E58E6" w:rsidP="002E58E6">
      <w:pPr>
        <w:pStyle w:val="SemEspaamento"/>
        <w:jc w:val="both"/>
      </w:pPr>
      <w:r>
        <w:t>Unidade: 18 SECRETARIA MUNICIPAL DE OBRAS</w:t>
      </w:r>
    </w:p>
    <w:p w14:paraId="15A36E6A" w14:textId="77777777" w:rsidR="002E58E6" w:rsidRDefault="002E58E6" w:rsidP="002E58E6">
      <w:pPr>
        <w:pStyle w:val="SemEspaamento"/>
        <w:jc w:val="both"/>
      </w:pPr>
      <w:r>
        <w:t>Dotação: 15.452.0045.2042.0000</w:t>
      </w:r>
    </w:p>
    <w:p w14:paraId="39CF85FD" w14:textId="77777777" w:rsidR="002E58E6" w:rsidRDefault="002E58E6" w:rsidP="002E58E6">
      <w:pPr>
        <w:pStyle w:val="SemEspaamento"/>
        <w:jc w:val="both"/>
      </w:pPr>
      <w:r>
        <w:t>3.3.90.30.00 MATERIAL DE CONSUMO</w:t>
      </w:r>
    </w:p>
    <w:p w14:paraId="69541E90" w14:textId="77777777" w:rsidR="002E58E6" w:rsidRDefault="002E58E6" w:rsidP="002E58E6">
      <w:pPr>
        <w:pStyle w:val="SemEspaamento"/>
        <w:jc w:val="both"/>
      </w:pPr>
      <w:r>
        <w:t>EXECUÇÃO E MANUTENÇÃO DE OBRAS</w:t>
      </w:r>
    </w:p>
    <w:p w14:paraId="5B256A7B" w14:textId="77777777" w:rsidR="002E58E6" w:rsidRDefault="002E58E6" w:rsidP="002E58E6">
      <w:pPr>
        <w:pStyle w:val="SemEspaamento"/>
        <w:jc w:val="both"/>
      </w:pPr>
    </w:p>
    <w:p w14:paraId="4572C74D" w14:textId="77777777" w:rsidR="002E58E6" w:rsidRDefault="002E58E6" w:rsidP="002E58E6">
      <w:pPr>
        <w:jc w:val="both"/>
        <w:rPr>
          <w:rFonts w:cs="Calibri"/>
          <w:b/>
          <w:color w:val="0D0D0D"/>
          <w:shd w:val="clear" w:color="auto" w:fill="FFFFFF"/>
        </w:rPr>
      </w:pPr>
    </w:p>
    <w:p w14:paraId="5F54ADE9" w14:textId="77777777" w:rsidR="002E58E6" w:rsidRDefault="002E58E6" w:rsidP="002E58E6">
      <w:pPr>
        <w:jc w:val="both"/>
        <w:rPr>
          <w:rFonts w:cs="Calibri"/>
          <w:b/>
          <w:color w:val="0D0D0D"/>
          <w:shd w:val="clear" w:color="auto" w:fill="FFFFFF"/>
        </w:rPr>
      </w:pPr>
      <w:r w:rsidRPr="00997DE9">
        <w:rPr>
          <w:rFonts w:cs="Calibri"/>
          <w:b/>
          <w:color w:val="0D0D0D"/>
          <w:shd w:val="clear" w:color="auto" w:fill="FFFFFF"/>
        </w:rPr>
        <w:t xml:space="preserve">11 - ESPECIFICAÇÃO DO </w:t>
      </w:r>
      <w:r>
        <w:rPr>
          <w:rFonts w:cs="Calibri"/>
          <w:b/>
          <w:color w:val="0D0D0D"/>
          <w:shd w:val="clear" w:color="auto" w:fill="FFFFFF"/>
        </w:rPr>
        <w:t>MATERIAL</w:t>
      </w:r>
    </w:p>
    <w:p w14:paraId="4EA0B4C9" w14:textId="77777777" w:rsidR="002E58E6" w:rsidRPr="00965096" w:rsidRDefault="002E58E6" w:rsidP="002E58E6">
      <w:pPr>
        <w:jc w:val="both"/>
        <w:rPr>
          <w:rFonts w:cs="Calibri"/>
          <w:bCs/>
          <w:color w:val="0D0D0D"/>
          <w:shd w:val="clear" w:color="auto" w:fill="FFFFFF"/>
        </w:rPr>
      </w:pPr>
      <w:r w:rsidRPr="00965096">
        <w:rPr>
          <w:rFonts w:cs="Calibri"/>
          <w:bCs/>
          <w:color w:val="0D0D0D"/>
          <w:shd w:val="clear" w:color="auto" w:fill="FFFFFF"/>
        </w:rPr>
        <w:t xml:space="preserve">O objeto a ser adquirido consiste em 01 (um) cesto aéreo individual novo e de primeiro uso, fabricado industrialmente em peça única de fibra de vidro de alta resistência mecânica, homogêneo e totalmente livre de bolhas, porosidades ou trincas. O componente deve possuir estrutura reforçada e apropriada para serviços em altura, em estrita conformidade com as diretrizes de segurança das normas regulamentadoras NR-10 e NR-12 (Anexo XII). </w:t>
      </w:r>
    </w:p>
    <w:p w14:paraId="06446781" w14:textId="77777777" w:rsidR="002E58E6" w:rsidRPr="00965096" w:rsidRDefault="002E58E6" w:rsidP="002E58E6">
      <w:pPr>
        <w:widowControl/>
        <w:numPr>
          <w:ilvl w:val="0"/>
          <w:numId w:val="62"/>
        </w:numPr>
        <w:autoSpaceDE/>
        <w:autoSpaceDN/>
        <w:spacing w:after="160"/>
        <w:jc w:val="both"/>
        <w:rPr>
          <w:rFonts w:cs="Calibri"/>
          <w:bCs/>
          <w:color w:val="0D0D0D"/>
          <w:shd w:val="clear" w:color="auto" w:fill="FFFFFF"/>
        </w:rPr>
      </w:pPr>
      <w:r w:rsidRPr="00965096">
        <w:rPr>
          <w:rFonts w:cs="Calibri"/>
          <w:bCs/>
          <w:color w:val="0D0D0D"/>
          <w:shd w:val="clear" w:color="auto" w:fill="FFFFFF"/>
        </w:rPr>
        <w:t xml:space="preserve">Padronização, Geometria e Compatibilidade de Acoplamento: O cesto aéreo deverá seguir, obrigatoriamente, o modelo padrão de mercado para braço mecânico de guindauto hidráulico (Caminhão Munck) para 1 (um) ocupante. O braço e o suporte metálico de fixação integrados ao cesto devem possuir geometria, dimensões e furação de travamento padronizadas que garantam o encaixe exato, imediato e com travamento mecânico duplo na ponta da lança do Munck preexistente da municipalidade, incluindo o sistema de adaptação completo. É expressamente vedada a entrega de componentes que exijam soldas, furações adicionais ou modificações estruturais na lança atual do Munck para viabilizar a sua instalação e ancoragem. </w:t>
      </w:r>
    </w:p>
    <w:p w14:paraId="0943633C" w14:textId="77777777" w:rsidR="002E58E6" w:rsidRPr="00965096" w:rsidRDefault="002E58E6" w:rsidP="002E58E6">
      <w:pPr>
        <w:widowControl/>
        <w:numPr>
          <w:ilvl w:val="0"/>
          <w:numId w:val="62"/>
        </w:numPr>
        <w:autoSpaceDE/>
        <w:autoSpaceDN/>
        <w:spacing w:after="160"/>
        <w:jc w:val="both"/>
        <w:rPr>
          <w:rFonts w:cs="Calibri"/>
          <w:bCs/>
          <w:color w:val="0D0D0D"/>
          <w:shd w:val="clear" w:color="auto" w:fill="FFFFFF"/>
        </w:rPr>
      </w:pPr>
      <w:r w:rsidRPr="00965096">
        <w:rPr>
          <w:rFonts w:cs="Calibri"/>
          <w:bCs/>
          <w:color w:val="0D0D0D"/>
          <w:shd w:val="clear" w:color="auto" w:fill="FFFFFF"/>
        </w:rPr>
        <w:lastRenderedPageBreak/>
        <w:t>Elementos de Acesso e Segurança: A estrutura deve contar com degrau lateral antiderrapante integrado diretamente na matriz de fibra para o acesso seguro do operador e, no mínimo, 01 (um) ponto metálico estrutural de ancoragem (olhal) dimensionado para a fixação do talabarte do cinto de segurança tipo paraquedista.</w:t>
      </w:r>
    </w:p>
    <w:p w14:paraId="79429E14" w14:textId="77777777" w:rsidR="002E58E6" w:rsidRDefault="002E58E6" w:rsidP="002E58E6">
      <w:pPr>
        <w:jc w:val="both"/>
        <w:rPr>
          <w:rFonts w:cs="Calibri"/>
          <w:b/>
          <w:color w:val="0D0D0D"/>
          <w:shd w:val="clear" w:color="auto" w:fill="FFFFFF"/>
        </w:rPr>
      </w:pPr>
    </w:p>
    <w:p w14:paraId="0BB768B2" w14:textId="77777777" w:rsidR="002E58E6" w:rsidRDefault="002E58E6" w:rsidP="002E58E6">
      <w:pPr>
        <w:jc w:val="both"/>
        <w:rPr>
          <w:rFonts w:cs="Calibri"/>
          <w:b/>
        </w:rPr>
      </w:pPr>
      <w:r w:rsidRPr="00211FBF">
        <w:rPr>
          <w:rFonts w:cs="Calibri"/>
          <w:b/>
        </w:rPr>
        <w:t xml:space="preserve">12 - INDICAÇÃO DO LOCAL DE </w:t>
      </w:r>
      <w:r>
        <w:rPr>
          <w:rFonts w:cs="Calibri"/>
          <w:b/>
        </w:rPr>
        <w:t>ENTREGA DO MATERIAL</w:t>
      </w:r>
    </w:p>
    <w:p w14:paraId="163818DB" w14:textId="77777777" w:rsidR="002E58E6" w:rsidRPr="002005FD" w:rsidRDefault="002E58E6" w:rsidP="002E58E6">
      <w:pPr>
        <w:jc w:val="both"/>
        <w:rPr>
          <w:rFonts w:cs="Calibri"/>
          <w:bCs/>
        </w:rPr>
      </w:pPr>
      <w:r w:rsidRPr="002005FD">
        <w:rPr>
          <w:rFonts w:cs="Calibri"/>
          <w:bCs/>
        </w:rPr>
        <w:t>O cesto aéreo individual em plástico reforçado com fibra de vidro (PRFV) deverá ser entregue, sob total responsabilidade da empresa contratada, no seguinte endereço:</w:t>
      </w:r>
    </w:p>
    <w:p w14:paraId="011E5923" w14:textId="77777777" w:rsidR="002E58E6" w:rsidRPr="002005FD" w:rsidRDefault="002E58E6" w:rsidP="002E58E6">
      <w:pPr>
        <w:widowControl/>
        <w:numPr>
          <w:ilvl w:val="0"/>
          <w:numId w:val="59"/>
        </w:numPr>
        <w:autoSpaceDE/>
        <w:autoSpaceDN/>
        <w:jc w:val="both"/>
        <w:rPr>
          <w:rFonts w:cs="Calibri"/>
          <w:bCs/>
        </w:rPr>
      </w:pPr>
      <w:r w:rsidRPr="002005FD">
        <w:rPr>
          <w:rFonts w:cs="Calibri"/>
          <w:bCs/>
        </w:rPr>
        <w:t>Local de Entrega: Almoxarifado Municipal, localizado na Rua Rui Barbosa, nº 500, Rifaina - SP, CEP 14490-000.</w:t>
      </w:r>
    </w:p>
    <w:p w14:paraId="044E4373" w14:textId="77777777" w:rsidR="002E58E6" w:rsidRPr="002005FD" w:rsidRDefault="002E58E6" w:rsidP="002E58E6">
      <w:pPr>
        <w:widowControl/>
        <w:numPr>
          <w:ilvl w:val="0"/>
          <w:numId w:val="59"/>
        </w:numPr>
        <w:autoSpaceDE/>
        <w:autoSpaceDN/>
        <w:jc w:val="both"/>
        <w:rPr>
          <w:rFonts w:cs="Calibri"/>
          <w:bCs/>
        </w:rPr>
      </w:pPr>
      <w:r w:rsidRPr="002005FD">
        <w:rPr>
          <w:rFonts w:cs="Calibri"/>
          <w:bCs/>
        </w:rPr>
        <w:t>Horário de Expediente: A entrega física do objeto e o protocolo de sua documentação técnica obrigatória deverão ocorrer estritamente em dias úteis, de segunda a sexta-feira, das 08:00 às 11:00 e das 13:00 às 17:00, mediante agendamento prévio com antecedência mínima de 48 (quarenta e oito) horas junto ao setor responsável.</w:t>
      </w:r>
    </w:p>
    <w:p w14:paraId="497E3AF1" w14:textId="77777777" w:rsidR="002E58E6" w:rsidRDefault="002E58E6" w:rsidP="002E58E6">
      <w:pPr>
        <w:widowControl/>
        <w:numPr>
          <w:ilvl w:val="0"/>
          <w:numId w:val="59"/>
        </w:numPr>
        <w:autoSpaceDE/>
        <w:autoSpaceDN/>
        <w:jc w:val="both"/>
        <w:rPr>
          <w:rFonts w:cs="Calibri"/>
          <w:bCs/>
        </w:rPr>
      </w:pPr>
      <w:r w:rsidRPr="002005FD">
        <w:rPr>
          <w:rFonts w:cs="Calibri"/>
          <w:bCs/>
        </w:rPr>
        <w:t>Responsabilidade Logística: Todas as despesas decorrentes de frete, transporte, seguro, descarregamento e movimentação do equipamento até o local de guarda nas dependências municipais correrão por conta exclusiva da fornecedora adjudicatária. A contratada deverá disponibilizar os meios necessários para a descarga segura do bem, respondendo integralmente por quaisquer danos ou avarias causadas ao patrimônio público ou ao próprio material durante a execução da logística.</w:t>
      </w:r>
    </w:p>
    <w:p w14:paraId="0AA7FC50" w14:textId="77777777" w:rsidR="002E58E6" w:rsidRDefault="002E58E6" w:rsidP="002E58E6">
      <w:pPr>
        <w:jc w:val="both"/>
        <w:rPr>
          <w:rFonts w:cs="Calibri"/>
          <w:bCs/>
        </w:rPr>
      </w:pPr>
    </w:p>
    <w:p w14:paraId="69874B99" w14:textId="77777777" w:rsidR="002E58E6" w:rsidRDefault="002E58E6" w:rsidP="002E58E6">
      <w:pPr>
        <w:jc w:val="both"/>
        <w:rPr>
          <w:rFonts w:cs="Calibri"/>
          <w:bCs/>
        </w:rPr>
      </w:pPr>
    </w:p>
    <w:p w14:paraId="12C448C6" w14:textId="77777777" w:rsidR="002E58E6" w:rsidRDefault="002E58E6" w:rsidP="002E58E6">
      <w:pPr>
        <w:jc w:val="both"/>
        <w:rPr>
          <w:rFonts w:cs="Calibri"/>
          <w:b/>
        </w:rPr>
      </w:pPr>
    </w:p>
    <w:p w14:paraId="0F288862" w14:textId="77777777" w:rsidR="002E58E6" w:rsidRDefault="002E58E6" w:rsidP="002E58E6">
      <w:pPr>
        <w:jc w:val="both"/>
        <w:rPr>
          <w:rFonts w:cs="Calibri"/>
          <w:b/>
        </w:rPr>
      </w:pPr>
      <w:r w:rsidRPr="00AF5CCA">
        <w:rPr>
          <w:rFonts w:cs="Calibri"/>
          <w:b/>
        </w:rPr>
        <w:t>13 - ESPECIFICAÇÃO DA GARANTIA</w:t>
      </w:r>
    </w:p>
    <w:p w14:paraId="2104D0C6" w14:textId="77777777" w:rsidR="002E58E6" w:rsidRDefault="002E58E6" w:rsidP="002E58E6">
      <w:pPr>
        <w:jc w:val="both"/>
        <w:rPr>
          <w:rFonts w:cs="Calibri"/>
          <w:b/>
        </w:rPr>
      </w:pPr>
    </w:p>
    <w:p w14:paraId="50CA061C" w14:textId="77777777" w:rsidR="002E58E6" w:rsidRPr="00965096" w:rsidRDefault="002E58E6" w:rsidP="002E58E6">
      <w:pPr>
        <w:jc w:val="both"/>
        <w:rPr>
          <w:rFonts w:cs="Calibri"/>
          <w:bCs/>
        </w:rPr>
      </w:pPr>
      <w:r w:rsidRPr="00965096">
        <w:rPr>
          <w:rFonts w:cs="Calibri"/>
          <w:bCs/>
        </w:rPr>
        <w:t xml:space="preserve">O regime de garantia e as obrigações pós-entrega do objeto observarão as seguintes diretrizes legais e técnicas: </w:t>
      </w:r>
    </w:p>
    <w:p w14:paraId="71593344" w14:textId="77777777" w:rsidR="002E58E6" w:rsidRPr="00965096" w:rsidRDefault="002E58E6" w:rsidP="002E58E6">
      <w:pPr>
        <w:widowControl/>
        <w:numPr>
          <w:ilvl w:val="0"/>
          <w:numId w:val="63"/>
        </w:numPr>
        <w:autoSpaceDE/>
        <w:autoSpaceDN/>
        <w:jc w:val="both"/>
        <w:rPr>
          <w:rFonts w:cs="Calibri"/>
          <w:bCs/>
        </w:rPr>
      </w:pPr>
      <w:r w:rsidRPr="00965096">
        <w:rPr>
          <w:rFonts w:cs="Calibri"/>
          <w:bCs/>
        </w:rPr>
        <w:t xml:space="preserve">Da Garantia Técnica Exigida: O cesto aéreo individual em fibra de vidro deverá contar com garantia técnica integral mínima de 12 (doze) meses, contados a partir da data de execução do Termo de Recebimento Definitivo. A garantia deve cobrir, sem qualquer ônus para a Administração Pública, todo e qualquer defeito de fabricação, falha estrutural, vício oculto na matriz de laminação da fibra ou inconformidade nos componentes metálicos de acoplamento e pontos de segurança (olhal de ancoragem). </w:t>
      </w:r>
    </w:p>
    <w:p w14:paraId="0610A268" w14:textId="77777777" w:rsidR="002E58E6" w:rsidRPr="00965096" w:rsidRDefault="002E58E6" w:rsidP="002E58E6">
      <w:pPr>
        <w:widowControl/>
        <w:numPr>
          <w:ilvl w:val="0"/>
          <w:numId w:val="63"/>
        </w:numPr>
        <w:autoSpaceDE/>
        <w:autoSpaceDN/>
        <w:jc w:val="both"/>
        <w:rPr>
          <w:rFonts w:cs="Calibri"/>
          <w:bCs/>
        </w:rPr>
      </w:pPr>
      <w:r w:rsidRPr="00965096">
        <w:rPr>
          <w:rFonts w:cs="Calibri"/>
          <w:bCs/>
        </w:rPr>
        <w:t xml:space="preserve">Da Inexistência de Manutenção e Assistência Técnica Contratual: Por tratar-se de aquisição pontual de bem manufaturado, de entrega única e imediata, não haverá obrigação de prestação continuada de serviços de manutenção preventiva, corretiva ou assistência técnica permanente por parte da fornecedora contratada. A manutenção regular do equipamento (higienização e vistorias visuais diárias pré-operação, conforme preconiza a NR-12) ficará sob a inteira e exclusiva responsabilidade operacional e orçamentária da própria municipalidade, por meio de seu corpo técnico ou de contratos próprios de manutenção de sua frota de guindautos. </w:t>
      </w:r>
    </w:p>
    <w:p w14:paraId="47331612" w14:textId="77777777" w:rsidR="002E58E6" w:rsidRPr="00032573" w:rsidRDefault="002E58E6" w:rsidP="002E58E6">
      <w:pPr>
        <w:jc w:val="both"/>
        <w:rPr>
          <w:rFonts w:cs="Calibri"/>
          <w:bCs/>
        </w:rPr>
      </w:pPr>
    </w:p>
    <w:p w14:paraId="6ADB7F4F" w14:textId="77777777" w:rsidR="002E58E6" w:rsidRDefault="002E58E6" w:rsidP="002E58E6">
      <w:pPr>
        <w:jc w:val="center"/>
        <w:rPr>
          <w:rFonts w:cs="Calibri"/>
          <w:b/>
        </w:rPr>
      </w:pPr>
    </w:p>
    <w:p w14:paraId="01AFDBA2" w14:textId="77777777" w:rsidR="002E58E6" w:rsidRPr="007D2AC7" w:rsidRDefault="002E58E6" w:rsidP="002E58E6">
      <w:pPr>
        <w:jc w:val="center"/>
        <w:rPr>
          <w:rFonts w:cs="Calibri"/>
        </w:rPr>
      </w:pPr>
      <w:r w:rsidRPr="007D2AC7">
        <w:rPr>
          <w:rFonts w:cs="Calibri"/>
          <w:b/>
        </w:rPr>
        <w:t xml:space="preserve">Assinatura: </w:t>
      </w:r>
      <w:r w:rsidRPr="007D2AC7">
        <w:rPr>
          <w:rFonts w:cs="Calibri"/>
        </w:rPr>
        <w:t>___________________________________</w:t>
      </w:r>
    </w:p>
    <w:p w14:paraId="528998E9" w14:textId="77777777" w:rsidR="002E58E6" w:rsidRPr="007D2AC7" w:rsidRDefault="002E58E6" w:rsidP="002E58E6">
      <w:pPr>
        <w:jc w:val="center"/>
        <w:rPr>
          <w:rFonts w:cs="Calibri"/>
        </w:rPr>
      </w:pPr>
      <w:r w:rsidRPr="007D2AC7">
        <w:rPr>
          <w:rFonts w:cs="Calibri"/>
          <w:b/>
        </w:rPr>
        <w:t xml:space="preserve">Nome: </w:t>
      </w:r>
      <w:r>
        <w:t>Wilson Alves da Silva Junior</w:t>
      </w:r>
    </w:p>
    <w:p w14:paraId="03BC124B" w14:textId="77777777" w:rsidR="002E58E6" w:rsidRDefault="002E58E6" w:rsidP="002E58E6">
      <w:pPr>
        <w:jc w:val="center"/>
        <w:rPr>
          <w:rFonts w:cs="Calibri"/>
        </w:rPr>
      </w:pPr>
      <w:r w:rsidRPr="007D2AC7">
        <w:rPr>
          <w:rFonts w:cs="Calibri"/>
          <w:b/>
        </w:rPr>
        <w:t xml:space="preserve">Cargo: </w:t>
      </w:r>
      <w:r w:rsidRPr="007D2AC7">
        <w:rPr>
          <w:rFonts w:cs="Calibri"/>
        </w:rPr>
        <w:t>Prefeito Municipal</w:t>
      </w:r>
    </w:p>
    <w:p w14:paraId="373817DC" w14:textId="77777777" w:rsidR="002E58E6" w:rsidRDefault="002E58E6" w:rsidP="002E58E6">
      <w:pPr>
        <w:rPr>
          <w:rFonts w:cs="Calibri"/>
          <w:b/>
        </w:rPr>
      </w:pPr>
    </w:p>
    <w:p w14:paraId="7DF81993" w14:textId="77777777" w:rsidR="002E58E6" w:rsidRDefault="002E58E6" w:rsidP="002E58E6">
      <w:pPr>
        <w:jc w:val="center"/>
        <w:rPr>
          <w:rFonts w:cs="Calibri"/>
          <w:b/>
        </w:rPr>
      </w:pPr>
      <w:r w:rsidRPr="007D2AC7">
        <w:rPr>
          <w:rFonts w:cs="Calibri"/>
          <w:b/>
        </w:rPr>
        <w:t xml:space="preserve">Assinatura: </w:t>
      </w:r>
      <w:r w:rsidRPr="007D2AC7">
        <w:rPr>
          <w:rFonts w:cs="Calibri"/>
        </w:rPr>
        <w:t>____________________________________</w:t>
      </w:r>
    </w:p>
    <w:p w14:paraId="31FA279F" w14:textId="77777777" w:rsidR="002E58E6" w:rsidRPr="00015E64" w:rsidRDefault="002E58E6" w:rsidP="002E58E6">
      <w:pPr>
        <w:jc w:val="center"/>
        <w:rPr>
          <w:rFonts w:ascii="Arial" w:hAnsi="Arial" w:cs="Arial"/>
        </w:rPr>
      </w:pPr>
      <w:r w:rsidRPr="00E07C1E">
        <w:rPr>
          <w:rFonts w:ascii="Aptos" w:eastAsia="Aptos" w:hAnsi="Aptos"/>
        </w:rPr>
        <w:t>Engº Oscar Luiz Berti</w:t>
      </w:r>
      <w:r w:rsidRPr="00E07C1E">
        <w:rPr>
          <w:rFonts w:ascii="Aptos" w:eastAsia="Aptos" w:hAnsi="Aptos"/>
        </w:rPr>
        <w:br/>
        <w:t>Secretário Municipal de Obras</w:t>
      </w:r>
      <w:r w:rsidRPr="00E07C1E">
        <w:rPr>
          <w:rFonts w:ascii="Aptos" w:eastAsia="Aptos" w:hAnsi="Aptos"/>
        </w:rPr>
        <w:br/>
        <w:t>CREA-SP 5060260041</w:t>
      </w:r>
    </w:p>
    <w:p w14:paraId="2D4E29D4" w14:textId="77777777" w:rsidR="002E58E6" w:rsidRDefault="002E58E6" w:rsidP="002E58E6">
      <w:pPr>
        <w:jc w:val="center"/>
        <w:rPr>
          <w:rFonts w:cs="Calibri"/>
        </w:rPr>
      </w:pPr>
    </w:p>
    <w:p w14:paraId="2AA770C0" w14:textId="77777777" w:rsidR="002E58E6" w:rsidRDefault="002E58E6" w:rsidP="002E58E6">
      <w:pPr>
        <w:jc w:val="center"/>
        <w:rPr>
          <w:rFonts w:cs="Calibri"/>
        </w:rPr>
      </w:pPr>
    </w:p>
    <w:p w14:paraId="11B69AD9" w14:textId="4BD23E7D" w:rsidR="001A2784" w:rsidRDefault="002E58E6" w:rsidP="002E58E6">
      <w:pPr>
        <w:spacing w:line="360" w:lineRule="auto"/>
        <w:ind w:left="-567" w:right="-708" w:firstLine="709"/>
        <w:jc w:val="center"/>
        <w:rPr>
          <w:b/>
          <w:bCs/>
          <w:spacing w:val="-10"/>
          <w:w w:val="115"/>
        </w:rPr>
      </w:pPr>
      <w:r>
        <w:rPr>
          <w:rFonts w:cs="Calibri"/>
        </w:rPr>
        <w:t>Rifaina, 30 de junho de 202</w:t>
      </w:r>
      <w:r>
        <w:rPr>
          <w:rFonts w:cs="Calibri"/>
        </w:rPr>
        <w:t>6</w:t>
      </w:r>
    </w:p>
    <w:p w14:paraId="4E3BF3BC" w14:textId="77777777" w:rsidR="001A2784" w:rsidRDefault="001A2784" w:rsidP="009A6D3F">
      <w:pPr>
        <w:spacing w:line="360" w:lineRule="auto"/>
        <w:ind w:left="-567" w:right="-708" w:firstLine="709"/>
        <w:jc w:val="center"/>
        <w:rPr>
          <w:b/>
          <w:bCs/>
          <w:spacing w:val="-10"/>
          <w:w w:val="115"/>
        </w:rPr>
      </w:pPr>
    </w:p>
    <w:p w14:paraId="3968700F" w14:textId="2557431A" w:rsidR="007E035C" w:rsidRPr="009A6D3F" w:rsidRDefault="006207AF" w:rsidP="009A6D3F">
      <w:pPr>
        <w:spacing w:line="360" w:lineRule="auto"/>
        <w:ind w:left="-567" w:right="-708" w:firstLine="709"/>
        <w:jc w:val="center"/>
        <w:rPr>
          <w:rFonts w:ascii="Arial Narrow" w:hAnsi="Arial Narrow"/>
          <w:sz w:val="18"/>
          <w:szCs w:val="18"/>
        </w:rPr>
      </w:pPr>
      <w:r w:rsidRPr="00F12FAF">
        <w:rPr>
          <w:b/>
          <w:bCs/>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0606294F"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w:t>
      </w:r>
      <w:r w:rsidR="00F12FAF">
        <w:rPr>
          <w:b/>
          <w:w w:val="115"/>
        </w:rPr>
        <w:t>°</w:t>
      </w:r>
      <w:r w:rsidR="00FB0867">
        <w:rPr>
          <w:b/>
          <w:w w:val="115"/>
        </w:rPr>
        <w:t>8</w:t>
      </w:r>
      <w:r w:rsidR="002E58E6">
        <w:rPr>
          <w:b/>
          <w:w w:val="115"/>
        </w:rPr>
        <w:t>9</w:t>
      </w:r>
      <w:r w:rsidRPr="00AC508A">
        <w:rPr>
          <w:b/>
          <w:w w:val="115"/>
          <w:lang w:val="pt-BR"/>
        </w:rPr>
        <w:t xml:space="preserve">/2026 </w:t>
      </w:r>
      <w:r w:rsidRPr="00AC508A">
        <w:rPr>
          <w:b/>
          <w:spacing w:val="-2"/>
          <w:w w:val="115"/>
        </w:rPr>
        <w:t>PROCESSO ADM Nº</w:t>
      </w:r>
      <w:r w:rsidR="00FB0867">
        <w:rPr>
          <w:b/>
          <w:spacing w:val="-2"/>
          <w:w w:val="115"/>
          <w:lang w:val="pt-BR"/>
        </w:rPr>
        <w:t>2</w:t>
      </w:r>
      <w:r w:rsidR="002E58E6">
        <w:rPr>
          <w:b/>
          <w:spacing w:val="-2"/>
          <w:w w:val="115"/>
          <w:lang w:val="pt-BR"/>
        </w:rPr>
        <w:t>54</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77"/>
        <w:gridCol w:w="940"/>
        <w:gridCol w:w="871"/>
        <w:gridCol w:w="1210"/>
        <w:gridCol w:w="1132"/>
      </w:tblGrid>
      <w:tr w:rsidR="002E58E6" w:rsidRPr="00D8430F" w14:paraId="62F41E03" w14:textId="77777777" w:rsidTr="00920296">
        <w:tc>
          <w:tcPr>
            <w:tcW w:w="667" w:type="dxa"/>
            <w:vAlign w:val="center"/>
          </w:tcPr>
          <w:p w14:paraId="032D8183" w14:textId="77777777" w:rsidR="002E58E6" w:rsidRPr="00D8430F" w:rsidRDefault="002E58E6" w:rsidP="00920296">
            <w:pPr>
              <w:jc w:val="center"/>
              <w:rPr>
                <w:rFonts w:cs="Calibri"/>
                <w:b/>
              </w:rPr>
            </w:pPr>
            <w:r>
              <w:rPr>
                <w:rFonts w:cs="Calibri"/>
                <w:b/>
              </w:rPr>
              <w:t>Item</w:t>
            </w:r>
          </w:p>
        </w:tc>
        <w:tc>
          <w:tcPr>
            <w:tcW w:w="4093" w:type="dxa"/>
            <w:vAlign w:val="center"/>
          </w:tcPr>
          <w:p w14:paraId="03CE2628" w14:textId="77777777" w:rsidR="002E58E6" w:rsidRPr="00D8430F" w:rsidRDefault="002E58E6" w:rsidP="00920296">
            <w:pPr>
              <w:jc w:val="center"/>
              <w:rPr>
                <w:rFonts w:cs="Calibri"/>
                <w:b/>
              </w:rPr>
            </w:pPr>
            <w:r w:rsidRPr="00D8430F">
              <w:rPr>
                <w:rFonts w:cs="Calibri"/>
                <w:b/>
              </w:rPr>
              <w:t>Descrição</w:t>
            </w:r>
          </w:p>
        </w:tc>
        <w:tc>
          <w:tcPr>
            <w:tcW w:w="941" w:type="dxa"/>
            <w:vAlign w:val="center"/>
          </w:tcPr>
          <w:p w14:paraId="169A7C6A" w14:textId="77777777" w:rsidR="002E58E6" w:rsidRPr="00D8430F" w:rsidRDefault="002E58E6" w:rsidP="00920296">
            <w:pPr>
              <w:jc w:val="center"/>
              <w:rPr>
                <w:rFonts w:cs="Calibri"/>
                <w:b/>
              </w:rPr>
            </w:pPr>
            <w:r w:rsidRPr="00D8430F">
              <w:rPr>
                <w:rFonts w:cs="Calibri"/>
                <w:b/>
              </w:rPr>
              <w:t>Unid.</w:t>
            </w:r>
          </w:p>
        </w:tc>
        <w:tc>
          <w:tcPr>
            <w:tcW w:w="849" w:type="dxa"/>
            <w:vAlign w:val="center"/>
          </w:tcPr>
          <w:p w14:paraId="3FA3BB9A" w14:textId="77777777" w:rsidR="002E58E6" w:rsidRPr="00D8430F" w:rsidRDefault="002E58E6" w:rsidP="00920296">
            <w:pPr>
              <w:jc w:val="center"/>
              <w:rPr>
                <w:rFonts w:cs="Calibri"/>
                <w:b/>
              </w:rPr>
            </w:pPr>
            <w:r w:rsidRPr="00D8430F">
              <w:rPr>
                <w:rFonts w:cs="Calibri"/>
                <w:b/>
              </w:rPr>
              <w:t>Quant.</w:t>
            </w:r>
          </w:p>
        </w:tc>
        <w:tc>
          <w:tcPr>
            <w:tcW w:w="1213" w:type="dxa"/>
            <w:vAlign w:val="center"/>
          </w:tcPr>
          <w:p w14:paraId="0760CA05" w14:textId="77777777" w:rsidR="002E58E6" w:rsidRPr="00D8430F" w:rsidRDefault="002E58E6" w:rsidP="00920296">
            <w:pPr>
              <w:jc w:val="center"/>
              <w:rPr>
                <w:rFonts w:cs="Calibri"/>
                <w:b/>
              </w:rPr>
            </w:pPr>
            <w:r w:rsidRPr="00D8430F">
              <w:rPr>
                <w:rFonts w:cs="Calibri"/>
                <w:b/>
              </w:rPr>
              <w:t>Valor</w:t>
            </w:r>
            <w:r>
              <w:rPr>
                <w:rFonts w:cs="Calibri"/>
                <w:b/>
              </w:rPr>
              <w:t xml:space="preserve"> Unit</w:t>
            </w:r>
            <w:r w:rsidRPr="00D8430F">
              <w:rPr>
                <w:rFonts w:cs="Calibri"/>
                <w:b/>
              </w:rPr>
              <w:t xml:space="preserve"> (R$)</w:t>
            </w:r>
          </w:p>
        </w:tc>
        <w:tc>
          <w:tcPr>
            <w:tcW w:w="1134" w:type="dxa"/>
            <w:vAlign w:val="center"/>
          </w:tcPr>
          <w:p w14:paraId="2732CD20" w14:textId="77777777" w:rsidR="002E58E6" w:rsidRPr="00D8430F" w:rsidRDefault="002E58E6" w:rsidP="00920296">
            <w:pPr>
              <w:jc w:val="center"/>
              <w:rPr>
                <w:rFonts w:cs="Calibri"/>
                <w:b/>
              </w:rPr>
            </w:pPr>
            <w:r w:rsidRPr="00D8430F">
              <w:rPr>
                <w:rFonts w:cs="Calibri"/>
                <w:b/>
              </w:rPr>
              <w:t xml:space="preserve">Valor </w:t>
            </w:r>
            <w:r>
              <w:rPr>
                <w:rFonts w:cs="Calibri"/>
                <w:b/>
              </w:rPr>
              <w:t xml:space="preserve">Total </w:t>
            </w:r>
            <w:r w:rsidRPr="00D8430F">
              <w:rPr>
                <w:rFonts w:cs="Calibri"/>
                <w:b/>
              </w:rPr>
              <w:t>(R$)</w:t>
            </w:r>
          </w:p>
        </w:tc>
      </w:tr>
      <w:tr w:rsidR="002E58E6" w:rsidRPr="00D8430F" w14:paraId="557F58B4" w14:textId="77777777" w:rsidTr="00920296">
        <w:tc>
          <w:tcPr>
            <w:tcW w:w="667" w:type="dxa"/>
            <w:vAlign w:val="center"/>
          </w:tcPr>
          <w:p w14:paraId="4A304DAE" w14:textId="77777777" w:rsidR="002E58E6" w:rsidRPr="00D8430F" w:rsidRDefault="002E58E6" w:rsidP="00920296">
            <w:pPr>
              <w:jc w:val="center"/>
              <w:rPr>
                <w:rFonts w:cs="Calibri"/>
              </w:rPr>
            </w:pPr>
            <w:r w:rsidRPr="00D8430F">
              <w:rPr>
                <w:rFonts w:cs="Calibri"/>
              </w:rPr>
              <w:t>01</w:t>
            </w:r>
          </w:p>
        </w:tc>
        <w:tc>
          <w:tcPr>
            <w:tcW w:w="4093" w:type="dxa"/>
            <w:vAlign w:val="center"/>
          </w:tcPr>
          <w:p w14:paraId="3A20D7F7" w14:textId="77777777" w:rsidR="002E58E6" w:rsidRPr="002005FD" w:rsidRDefault="002E58E6" w:rsidP="00920296">
            <w:pPr>
              <w:jc w:val="center"/>
              <w:rPr>
                <w:rFonts w:cs="Calibri"/>
              </w:rPr>
            </w:pPr>
            <w:r w:rsidRPr="00965096">
              <w:rPr>
                <w:shd w:val="clear" w:color="auto" w:fill="FFFFFF"/>
              </w:rPr>
              <w:t>Cesto aéreo em fibra de vidro para adaptação em caminhão munck pertencente à frota municipal, confeccionado em fibra de vidro de alta resistência, com estrutura reforçada e apropriada para serviços em altura, compatível com o caminhão munck do município, incluindo sistema de adaptação e fixação, instalação completa, suportes, ferragens, fixadores e acessórios necessários, material resistente às intempéries e exposição solar, produto novo, sem uso anterior, com boas condições de estabilidade e segurança operacional, destinado ao transporte de operador e ferramentas para execução de serviços em altura.</w:t>
            </w:r>
          </w:p>
        </w:tc>
        <w:tc>
          <w:tcPr>
            <w:tcW w:w="941" w:type="dxa"/>
            <w:vAlign w:val="center"/>
          </w:tcPr>
          <w:p w14:paraId="1909EAB6" w14:textId="77777777" w:rsidR="002E58E6" w:rsidRPr="00D8430F" w:rsidRDefault="002E58E6" w:rsidP="00920296">
            <w:pPr>
              <w:jc w:val="center"/>
              <w:rPr>
                <w:rFonts w:cs="Calibri"/>
              </w:rPr>
            </w:pPr>
            <w:r>
              <w:rPr>
                <w:rFonts w:cs="Calibri"/>
              </w:rPr>
              <w:t>Unid.</w:t>
            </w:r>
          </w:p>
        </w:tc>
        <w:tc>
          <w:tcPr>
            <w:tcW w:w="849" w:type="dxa"/>
            <w:vAlign w:val="center"/>
          </w:tcPr>
          <w:p w14:paraId="2C7E02A3" w14:textId="77777777" w:rsidR="002E58E6" w:rsidRPr="00D8430F" w:rsidRDefault="002E58E6" w:rsidP="00920296">
            <w:pPr>
              <w:jc w:val="center"/>
              <w:rPr>
                <w:rFonts w:cs="Calibri"/>
              </w:rPr>
            </w:pPr>
            <w:r>
              <w:rPr>
                <w:rFonts w:cs="Calibri"/>
              </w:rPr>
              <w:t>01</w:t>
            </w:r>
          </w:p>
        </w:tc>
        <w:tc>
          <w:tcPr>
            <w:tcW w:w="1213" w:type="dxa"/>
            <w:vAlign w:val="center"/>
          </w:tcPr>
          <w:p w14:paraId="7937FBBB" w14:textId="71D7BF4A" w:rsidR="002E58E6" w:rsidRDefault="002E58E6" w:rsidP="00920296">
            <w:pPr>
              <w:jc w:val="center"/>
              <w:rPr>
                <w:rFonts w:cs="Calibri"/>
              </w:rPr>
            </w:pPr>
          </w:p>
        </w:tc>
        <w:tc>
          <w:tcPr>
            <w:tcW w:w="1134" w:type="dxa"/>
            <w:vAlign w:val="center"/>
          </w:tcPr>
          <w:p w14:paraId="73C130F0" w14:textId="06728151" w:rsidR="002E58E6" w:rsidRPr="00D8430F" w:rsidRDefault="002E58E6" w:rsidP="00920296">
            <w:pPr>
              <w:jc w:val="center"/>
              <w:rPr>
                <w:rFonts w:cs="Calibri"/>
              </w:rPr>
            </w:pPr>
          </w:p>
        </w:tc>
      </w:tr>
    </w:tbl>
    <w:p w14:paraId="4AE52B0D" w14:textId="77777777" w:rsidR="00B458BB" w:rsidRPr="007A7925" w:rsidRDefault="00B458BB" w:rsidP="00B458BB">
      <w:pPr>
        <w:jc w:val="both"/>
        <w:rPr>
          <w:rFonts w:ascii="Arial Narrow" w:hAnsi="Arial Narrow"/>
          <w:sz w:val="16"/>
          <w:szCs w:val="16"/>
        </w:rPr>
      </w:pPr>
    </w:p>
    <w:p w14:paraId="7EFC2E32" w14:textId="77777777" w:rsidR="009A6D3F" w:rsidRDefault="009A6D3F" w:rsidP="00613F72">
      <w:pPr>
        <w:spacing w:line="480" w:lineRule="auto"/>
        <w:ind w:leftChars="90" w:left="198" w:firstLineChars="465" w:firstLine="840"/>
        <w:jc w:val="both"/>
        <w:rPr>
          <w:b/>
          <w:bCs/>
          <w:sz w:val="18"/>
          <w:szCs w:val="18"/>
        </w:rPr>
      </w:pPr>
    </w:p>
    <w:p w14:paraId="34624DB2" w14:textId="1F044FB7"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t>OBJETO :</w:t>
      </w:r>
      <w:r w:rsidRPr="001A2784">
        <w:rPr>
          <w:b/>
          <w:bCs/>
          <w:sz w:val="18"/>
          <w:szCs w:val="18"/>
        </w:rPr>
        <w:t xml:space="preserve"> </w:t>
      </w:r>
      <w:r w:rsidR="002E58E6" w:rsidRPr="002E58E6">
        <w:rPr>
          <w:b/>
          <w:bCs/>
          <w:sz w:val="18"/>
          <w:szCs w:val="18"/>
        </w:rPr>
        <w:t>REFERENTE A AQUISIÇÃO DE 01 (UM) CESTO AÉREO EM FIBRA DE VIDRO PARA ADAPTAÇÃO EM CAMINHÃO MUNCK PERTENCENTE A FROTA MUNICIPAL.</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57027400" w14:textId="77777777" w:rsidR="001A2784" w:rsidRDefault="001A2784">
      <w:pPr>
        <w:pStyle w:val="SemEspaamento"/>
        <w:jc w:val="center"/>
        <w:rPr>
          <w:rFonts w:ascii="Times New Roman" w:hAnsi="Times New Roman"/>
          <w:b/>
          <w:bCs/>
        </w:rPr>
      </w:pPr>
    </w:p>
    <w:p w14:paraId="0262C102" w14:textId="77777777" w:rsidR="001A2784" w:rsidRDefault="001A2784">
      <w:pPr>
        <w:pStyle w:val="SemEspaamento"/>
        <w:jc w:val="center"/>
        <w:rPr>
          <w:rFonts w:ascii="Times New Roman" w:hAnsi="Times New Roman"/>
          <w:b/>
          <w:bCs/>
        </w:rPr>
      </w:pPr>
    </w:p>
    <w:p w14:paraId="22B4B280" w14:textId="77777777" w:rsidR="001A2784" w:rsidRDefault="001A2784">
      <w:pPr>
        <w:pStyle w:val="SemEspaamento"/>
        <w:jc w:val="center"/>
        <w:rPr>
          <w:rFonts w:ascii="Times New Roman" w:hAnsi="Times New Roman"/>
          <w:b/>
          <w:bCs/>
        </w:rPr>
      </w:pPr>
    </w:p>
    <w:p w14:paraId="37551830" w14:textId="219315B6"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lastRenderedPageBreak/>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1"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w:t>
      </w:r>
      <w:r w:rsidRPr="00AC508A">
        <w:rPr>
          <w:rFonts w:eastAsia="Arial MT"/>
        </w:rPr>
        <w:lastRenderedPageBreak/>
        <w:t>possa(m) mais ser utilizado(s), será(ão) adotado(s), em substituição, o(s) que vier(em) a ser determinado(s) pela 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w:t>
      </w:r>
      <w:r w:rsidRPr="00AC508A">
        <w:rPr>
          <w:rFonts w:eastAsia="Arial MT"/>
        </w:rPr>
        <w:lastRenderedPageBreak/>
        <w:t xml:space="preserve">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lastRenderedPageBreak/>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w:t>
      </w:r>
      <w:r w:rsidRPr="00AC508A">
        <w:rPr>
          <w:rFonts w:eastAsia="Arial MT"/>
        </w:rPr>
        <w:lastRenderedPageBreak/>
        <w:t>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lastRenderedPageBreak/>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w:t>
      </w:r>
      <w:r w:rsidRPr="00AC508A">
        <w:rPr>
          <w:rFonts w:eastAsia="Arial"/>
        </w:rPr>
        <w:lastRenderedPageBreak/>
        <w:t xml:space="preserve">Ciência e Notificação, será ele objeto de notificação específica. </w:t>
      </w:r>
      <w:r w:rsidRPr="00AC508A">
        <w:rPr>
          <w:rFonts w:eastAsia="Arial"/>
          <w:i/>
        </w:rPr>
        <w:t>(inciso acrescido pela Resolução nº 11/2021)</w:t>
      </w:r>
    </w:p>
    <w:sectPr w:rsidR="007E035C" w:rsidRPr="00AC508A">
      <w:headerReference w:type="default" r:id="rId22"/>
      <w:footerReference w:type="default" r:id="rId2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4A09" w14:textId="77777777" w:rsidR="0029576C" w:rsidRDefault="0029576C">
      <w:r>
        <w:separator/>
      </w:r>
    </w:p>
  </w:endnote>
  <w:endnote w:type="continuationSeparator" w:id="0">
    <w:p w14:paraId="6FF0EF81" w14:textId="77777777" w:rsidR="0029576C" w:rsidRDefault="0029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95F7" w14:textId="77777777" w:rsidR="0029576C" w:rsidRDefault="0029576C">
      <w:r>
        <w:separator/>
      </w:r>
    </w:p>
  </w:footnote>
  <w:footnote w:type="continuationSeparator" w:id="0">
    <w:p w14:paraId="1CE8082D" w14:textId="77777777" w:rsidR="0029576C" w:rsidRDefault="0029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568172360" name="Imagem 1568172360"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5BA3445"/>
    <w:multiLevelType w:val="multilevel"/>
    <w:tmpl w:val="04E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AAC71AA"/>
    <w:multiLevelType w:val="multilevel"/>
    <w:tmpl w:val="8C4E2B42"/>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i w:val="0"/>
        <w:caps w:val="0"/>
        <w:strike w:val="0"/>
        <w:dstrike w:val="0"/>
        <w:vanish w:val="0"/>
        <w:color w:val="auto"/>
        <w:spacing w:val="0"/>
        <w:w w:val="100"/>
        <w:kern w:val="0"/>
        <w:position w:val="0"/>
        <w:sz w:val="20"/>
        <w:vertAlign w:val="baseline"/>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E5D163C"/>
    <w:multiLevelType w:val="multilevel"/>
    <w:tmpl w:val="86B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5F55A13"/>
    <w:multiLevelType w:val="multilevel"/>
    <w:tmpl w:val="C7D0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15:restartNumberingAfterBreak="0">
    <w:nsid w:val="30560307"/>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7"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20568C"/>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0"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E3634"/>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A4115F"/>
    <w:multiLevelType w:val="multilevel"/>
    <w:tmpl w:val="2CF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8"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1"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A353CD9"/>
    <w:multiLevelType w:val="multilevel"/>
    <w:tmpl w:val="3B7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0"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16629"/>
    <w:multiLevelType w:val="multilevel"/>
    <w:tmpl w:val="FA0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5"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7"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9"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1"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7"/>
  </w:num>
  <w:num w:numId="2" w16cid:durableId="1655142330">
    <w:abstractNumId w:val="13"/>
  </w:num>
  <w:num w:numId="3" w16cid:durableId="2138794430">
    <w:abstractNumId w:val="12"/>
  </w:num>
  <w:num w:numId="4" w16cid:durableId="1118379108">
    <w:abstractNumId w:val="21"/>
  </w:num>
  <w:num w:numId="5" w16cid:durableId="1993369557">
    <w:abstractNumId w:val="40"/>
  </w:num>
  <w:num w:numId="6" w16cid:durableId="1661689075">
    <w:abstractNumId w:val="17"/>
  </w:num>
  <w:num w:numId="7" w16cid:durableId="1788507358">
    <w:abstractNumId w:val="58"/>
  </w:num>
  <w:num w:numId="8" w16cid:durableId="1386492958">
    <w:abstractNumId w:val="49"/>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7"/>
  </w:num>
  <w:num w:numId="14" w16cid:durableId="9429550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6"/>
  </w:num>
  <w:num w:numId="16" w16cid:durableId="2116243502">
    <w:abstractNumId w:val="54"/>
  </w:num>
  <w:num w:numId="17" w16cid:durableId="1713001323">
    <w:abstractNumId w:val="31"/>
  </w:num>
  <w:num w:numId="18" w16cid:durableId="1282804763">
    <w:abstractNumId w:val="29"/>
  </w:num>
  <w:num w:numId="19" w16cid:durableId="1200509380">
    <w:abstractNumId w:val="51"/>
  </w:num>
  <w:num w:numId="20" w16cid:durableId="242297235">
    <w:abstractNumId w:val="10"/>
  </w:num>
  <w:num w:numId="21" w16cid:durableId="1765225747">
    <w:abstractNumId w:val="52"/>
  </w:num>
  <w:num w:numId="22" w16cid:durableId="135727114">
    <w:abstractNumId w:val="8"/>
  </w:num>
  <w:num w:numId="23" w16cid:durableId="1096170672">
    <w:abstractNumId w:val="41"/>
  </w:num>
  <w:num w:numId="24" w16cid:durableId="1717661129">
    <w:abstractNumId w:val="47"/>
  </w:num>
  <w:num w:numId="25" w16cid:durableId="2001305314">
    <w:abstractNumId w:val="3"/>
  </w:num>
  <w:num w:numId="26" w16cid:durableId="672682249">
    <w:abstractNumId w:val="44"/>
  </w:num>
  <w:num w:numId="27" w16cid:durableId="84304372">
    <w:abstractNumId w:val="11"/>
  </w:num>
  <w:num w:numId="28" w16cid:durableId="1542783195">
    <w:abstractNumId w:val="61"/>
  </w:num>
  <w:num w:numId="29" w16cid:durableId="1922717674">
    <w:abstractNumId w:val="39"/>
  </w:num>
  <w:num w:numId="30" w16cid:durableId="987131403">
    <w:abstractNumId w:val="20"/>
  </w:num>
  <w:num w:numId="31" w16cid:durableId="1547371005">
    <w:abstractNumId w:val="32"/>
  </w:num>
  <w:num w:numId="32" w16cid:durableId="335348539">
    <w:abstractNumId w:val="50"/>
  </w:num>
  <w:num w:numId="33" w16cid:durableId="464811190">
    <w:abstractNumId w:val="4"/>
  </w:num>
  <w:num w:numId="34" w16cid:durableId="274406280">
    <w:abstractNumId w:val="43"/>
  </w:num>
  <w:num w:numId="35" w16cid:durableId="1257789909">
    <w:abstractNumId w:val="38"/>
  </w:num>
  <w:num w:numId="36" w16cid:durableId="70548481">
    <w:abstractNumId w:val="16"/>
  </w:num>
  <w:num w:numId="37" w16cid:durableId="368342214">
    <w:abstractNumId w:val="48"/>
  </w:num>
  <w:num w:numId="38" w16cid:durableId="662046291">
    <w:abstractNumId w:val="35"/>
  </w:num>
  <w:num w:numId="39" w16cid:durableId="696582763">
    <w:abstractNumId w:val="6"/>
  </w:num>
  <w:num w:numId="40" w16cid:durableId="1735590176">
    <w:abstractNumId w:val="42"/>
  </w:num>
  <w:num w:numId="41" w16cid:durableId="1577784971">
    <w:abstractNumId w:val="15"/>
  </w:num>
  <w:num w:numId="42" w16cid:durableId="338846620">
    <w:abstractNumId w:val="55"/>
  </w:num>
  <w:num w:numId="43" w16cid:durableId="390226990">
    <w:abstractNumId w:val="59"/>
  </w:num>
  <w:num w:numId="44" w16cid:durableId="92366789">
    <w:abstractNumId w:val="45"/>
  </w:num>
  <w:num w:numId="45" w16cid:durableId="213740899">
    <w:abstractNumId w:val="9"/>
  </w:num>
  <w:num w:numId="46" w16cid:durableId="1202089621">
    <w:abstractNumId w:val="0"/>
  </w:num>
  <w:num w:numId="47" w16cid:durableId="1924606831">
    <w:abstractNumId w:val="5"/>
  </w:num>
  <w:num w:numId="48" w16cid:durableId="601180554">
    <w:abstractNumId w:val="62"/>
  </w:num>
  <w:num w:numId="49" w16cid:durableId="959647614">
    <w:abstractNumId w:val="1"/>
  </w:num>
  <w:num w:numId="50" w16cid:durableId="2134328432">
    <w:abstractNumId w:val="30"/>
  </w:num>
  <w:num w:numId="51" w16cid:durableId="251937315">
    <w:abstractNumId w:val="60"/>
  </w:num>
  <w:num w:numId="52" w16cid:durableId="2050915874">
    <w:abstractNumId w:val="36"/>
  </w:num>
  <w:num w:numId="53" w16cid:durableId="893850530">
    <w:abstractNumId w:val="57"/>
  </w:num>
  <w:num w:numId="54" w16cid:durableId="1491172045">
    <w:abstractNumId w:val="34"/>
  </w:num>
  <w:num w:numId="55" w16cid:durableId="312376071">
    <w:abstractNumId w:val="18"/>
  </w:num>
  <w:num w:numId="56" w16cid:durableId="1950114462">
    <w:abstractNumId w:val="33"/>
  </w:num>
  <w:num w:numId="57" w16cid:durableId="496768292">
    <w:abstractNumId w:val="14"/>
  </w:num>
  <w:num w:numId="58" w16cid:durableId="990251939">
    <w:abstractNumId w:val="22"/>
  </w:num>
  <w:num w:numId="59" w16cid:durableId="1325088671">
    <w:abstractNumId w:val="46"/>
  </w:num>
  <w:num w:numId="60" w16cid:durableId="176234628">
    <w:abstractNumId w:val="53"/>
  </w:num>
  <w:num w:numId="61" w16cid:durableId="716203399">
    <w:abstractNumId w:val="19"/>
  </w:num>
  <w:num w:numId="62" w16cid:durableId="780227670">
    <w:abstractNumId w:val="25"/>
  </w:num>
  <w:num w:numId="63" w16cid:durableId="8959726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66AB7"/>
    <w:rsid w:val="00170B57"/>
    <w:rsid w:val="00193D28"/>
    <w:rsid w:val="001A2784"/>
    <w:rsid w:val="001A3C6C"/>
    <w:rsid w:val="001B08A9"/>
    <w:rsid w:val="001B14DC"/>
    <w:rsid w:val="001D0D3F"/>
    <w:rsid w:val="001D65A3"/>
    <w:rsid w:val="001F4DE1"/>
    <w:rsid w:val="00223908"/>
    <w:rsid w:val="00232161"/>
    <w:rsid w:val="00237215"/>
    <w:rsid w:val="002643A3"/>
    <w:rsid w:val="00265B0C"/>
    <w:rsid w:val="002705B5"/>
    <w:rsid w:val="00274657"/>
    <w:rsid w:val="00276237"/>
    <w:rsid w:val="002779D0"/>
    <w:rsid w:val="00284FB2"/>
    <w:rsid w:val="0029207E"/>
    <w:rsid w:val="00292A3A"/>
    <w:rsid w:val="0029576C"/>
    <w:rsid w:val="002C410C"/>
    <w:rsid w:val="002D39C1"/>
    <w:rsid w:val="002D693B"/>
    <w:rsid w:val="002D7662"/>
    <w:rsid w:val="002E0133"/>
    <w:rsid w:val="002E3591"/>
    <w:rsid w:val="002E42D5"/>
    <w:rsid w:val="002E5450"/>
    <w:rsid w:val="002E58E6"/>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14C0"/>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4F5D3F"/>
    <w:rsid w:val="005462B4"/>
    <w:rsid w:val="005708EA"/>
    <w:rsid w:val="00570F50"/>
    <w:rsid w:val="005736B7"/>
    <w:rsid w:val="00573914"/>
    <w:rsid w:val="00590070"/>
    <w:rsid w:val="00592C80"/>
    <w:rsid w:val="005B628E"/>
    <w:rsid w:val="005B68C7"/>
    <w:rsid w:val="005B7BEF"/>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11867"/>
    <w:rsid w:val="0072199B"/>
    <w:rsid w:val="00723C53"/>
    <w:rsid w:val="007379CC"/>
    <w:rsid w:val="00743192"/>
    <w:rsid w:val="00750CF2"/>
    <w:rsid w:val="00751984"/>
    <w:rsid w:val="007524B6"/>
    <w:rsid w:val="0075432F"/>
    <w:rsid w:val="0076388A"/>
    <w:rsid w:val="00764A3D"/>
    <w:rsid w:val="0076799D"/>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A6D3F"/>
    <w:rsid w:val="009B591F"/>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58BB"/>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07DF3"/>
    <w:rsid w:val="00C25228"/>
    <w:rsid w:val="00C260C7"/>
    <w:rsid w:val="00C27FC5"/>
    <w:rsid w:val="00C35E2D"/>
    <w:rsid w:val="00C63C65"/>
    <w:rsid w:val="00C73AAF"/>
    <w:rsid w:val="00CB3846"/>
    <w:rsid w:val="00CB49E7"/>
    <w:rsid w:val="00CC67A8"/>
    <w:rsid w:val="00CD064B"/>
    <w:rsid w:val="00CD4A45"/>
    <w:rsid w:val="00D02440"/>
    <w:rsid w:val="00D259FE"/>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C1172"/>
    <w:rsid w:val="00ED4691"/>
    <w:rsid w:val="00EF39CF"/>
    <w:rsid w:val="00F12FAF"/>
    <w:rsid w:val="00F4371F"/>
    <w:rsid w:val="00F52AC3"/>
    <w:rsid w:val="00F6230A"/>
    <w:rsid w:val="00F675F2"/>
    <w:rsid w:val="00F77D51"/>
    <w:rsid w:val="00FA2F18"/>
    <w:rsid w:val="00FA5792"/>
    <w:rsid w:val="00FB0867"/>
    <w:rsid w:val="00FB40A2"/>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10675</Words>
  <Characters>57650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hevelyn Rodrigues</cp:lastModifiedBy>
  <cp:revision>2</cp:revision>
  <cp:lastPrinted>2026-05-11T17:17:00Z</cp:lastPrinted>
  <dcterms:created xsi:type="dcterms:W3CDTF">2026-07-08T13:09:00Z</dcterms:created>
  <dcterms:modified xsi:type="dcterms:W3CDTF">2026-07-08T13:09:00Z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