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11"/>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75</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50</w:t>
      </w:r>
      <w:r>
        <w:rPr>
          <w:rFonts w:ascii="Times New Roman" w:hAnsi="Times New Roman" w:cs="Times New Roman"/>
          <w:spacing w:val="-2"/>
          <w:w w:val="115"/>
          <w:sz w:val="22"/>
          <w:szCs w:val="22"/>
        </w:rPr>
        <w:t>/2025</w:t>
      </w:r>
    </w:p>
    <w:p w14:paraId="7CC29A72">
      <w:pPr>
        <w:pStyle w:val="11"/>
        <w:rPr>
          <w:rFonts w:ascii="Times New Roman" w:hAnsi="Times New Roman" w:cs="Times New Roman"/>
          <w:sz w:val="22"/>
          <w:szCs w:val="22"/>
        </w:rPr>
      </w:pPr>
    </w:p>
    <w:p w14:paraId="716850BE">
      <w:pPr>
        <w:pStyle w:val="10"/>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w:t>
      </w:r>
      <w:r>
        <w:rPr>
          <w:rFonts w:hint="default" w:ascii="Times New Roman" w:hAnsi="Times New Roman" w:cs="Times New Roman"/>
          <w:b/>
          <w:w w:val="115"/>
          <w:sz w:val="22"/>
          <w:szCs w:val="22"/>
          <w:lang w:val="pt-BR"/>
        </w:rPr>
        <w:t xml:space="preserve"> UNITARIO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10"/>
        <w:spacing w:before="43"/>
        <w:rPr>
          <w:rFonts w:ascii="Times New Roman" w:hAnsi="Times New Roman" w:cs="Times New Roman"/>
          <w:sz w:val="22"/>
          <w:szCs w:val="22"/>
        </w:rPr>
      </w:pPr>
    </w:p>
    <w:p w14:paraId="64AB70CC">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lang w:val="pt-BR"/>
        </w:rPr>
        <w:t>15</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09:00 </w:t>
      </w:r>
      <w:r>
        <w:rPr>
          <w:rFonts w:ascii="Times New Roman" w:hAnsi="Times New Roman" w:cs="Times New Roman"/>
          <w:color w:val="000000"/>
          <w:w w:val="115"/>
          <w:highlight w:val="yellow"/>
        </w:rPr>
        <w:t>até</w:t>
      </w:r>
      <w:r>
        <w:rPr>
          <w:rFonts w:ascii="Times New Roman" w:hAnsi="Times New Roman" w:cs="Times New Roman"/>
          <w:color w:val="000000"/>
          <w:spacing w:val="16"/>
          <w:w w:val="115"/>
          <w:highlight w:val="yellow"/>
        </w:rPr>
        <w:t xml:space="preserve"> </w:t>
      </w:r>
    </w:p>
    <w:p w14:paraId="20133760">
      <w:pPr>
        <w:spacing w:before="1"/>
        <w:ind w:left="285"/>
        <w:rPr>
          <w:rFonts w:ascii="Times New Roman" w:hAnsi="Times New Roman" w:cs="Times New Roman"/>
        </w:rPr>
      </w:pP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21</w:t>
      </w:r>
      <w:bookmarkStart w:id="7" w:name="_GoBack"/>
      <w:bookmarkEnd w:id="7"/>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ascii="Times New Roman" w:hAnsi="Times New Roman" w:cs="Times New Roman"/>
          <w:b/>
          <w:color w:val="000000"/>
          <w:w w:val="115"/>
          <w:highlight w:val="yellow"/>
        </w:rPr>
        <w:t>08:30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10"/>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lang w:val="pt-BR"/>
        </w:rPr>
        <w:t>21</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09h05min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06</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(seis)horas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10"/>
        <w:spacing w:before="15"/>
        <w:ind w:left="0"/>
        <w:jc w:val="left"/>
        <w:rPr>
          <w:rFonts w:ascii="Times New Roman" w:hAnsi="Times New Roman" w:cs="Times New Roman"/>
          <w:b/>
          <w:sz w:val="22"/>
          <w:szCs w:val="22"/>
        </w:rPr>
      </w:pPr>
    </w:p>
    <w:p w14:paraId="068866E0">
      <w:pPr>
        <w:pStyle w:val="10"/>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10"/>
        <w:spacing w:before="61"/>
        <w:ind w:left="0"/>
        <w:jc w:val="left"/>
        <w:rPr>
          <w:rFonts w:ascii="Times New Roman" w:hAnsi="Times New Roman" w:cs="Times New Roman"/>
          <w:b/>
          <w:sz w:val="22"/>
          <w:szCs w:val="22"/>
        </w:rPr>
      </w:pPr>
    </w:p>
    <w:p w14:paraId="44C4FCA1">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CÓDIGO DA FICHA: 145</w:t>
      </w:r>
    </w:p>
    <w:p w14:paraId="6E94F5F9">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Órgão: 02 PREFEITURA MUNICIPAL</w:t>
      </w:r>
    </w:p>
    <w:p w14:paraId="2C6BA3F0">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Unidade: 08 SECRETARIA MUNICIPAL DE EDUCAÇÃO</w:t>
      </w:r>
    </w:p>
    <w:p w14:paraId="61BB008E">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Dotação: 12.361.0011.2009.0220</w:t>
      </w:r>
    </w:p>
    <w:p w14:paraId="4222B178">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 xml:space="preserve">Desenvolvimento e Manutenção do </w:t>
      </w:r>
    </w:p>
    <w:p w14:paraId="6EBEBB0B">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 xml:space="preserve">4.4.90.52.00 EQUIPAMENTOS E MATERIAL PERMANENTE </w:t>
      </w:r>
    </w:p>
    <w:p w14:paraId="38A8BABD">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p>
    <w:p w14:paraId="2ED36781">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CÓDIGO DA FICHA: 100</w:t>
      </w:r>
    </w:p>
    <w:p w14:paraId="7F368D1C">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Órgão: 02 PREFEITURA MUNICIPAL</w:t>
      </w:r>
    </w:p>
    <w:p w14:paraId="6AD075C9">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Unidade: 08 SECRETARIA MUNICIPAL DE EDUCAÇÃO</w:t>
      </w:r>
    </w:p>
    <w:p w14:paraId="5A43A1B8">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Dotação: 12.365.0011.2027.0212</w:t>
      </w:r>
    </w:p>
    <w:p w14:paraId="6F9FF9DD">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 xml:space="preserve">Manutenção do Ensino Infantil </w:t>
      </w:r>
    </w:p>
    <w:p w14:paraId="6741944F">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 xml:space="preserve">4.4.90.52.00 EQUIPAMENTOS E MATERIAL PERMANENTE  </w:t>
      </w:r>
    </w:p>
    <w:p w14:paraId="36D671C2">
      <w:pPr>
        <w:spacing w:line="360" w:lineRule="auto"/>
        <w:jc w:val="both"/>
        <w:rPr>
          <w:rFonts w:ascii="Arial" w:hAnsi="Arial" w:eastAsia="Arial-BoldMT" w:cs="Arial"/>
          <w:b/>
          <w:bCs/>
          <w:sz w:val="24"/>
          <w:szCs w:val="24"/>
          <w:highlight w:val="yellow"/>
        </w:rPr>
      </w:pPr>
    </w:p>
    <w:p w14:paraId="5D1B6449">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eastAsia="Courier New" w:cs="Times New Roman"/>
          <w:b/>
          <w:sz w:val="22"/>
          <w:szCs w:val="22"/>
          <w:lang w:val="pt-PT" w:eastAsia="en-US" w:bidi="ar-SA"/>
        </w:rPr>
      </w:pPr>
    </w:p>
    <w:p w14:paraId="13090284">
      <w:pPr>
        <w:pStyle w:val="10"/>
        <w:spacing w:before="61"/>
        <w:ind w:left="0"/>
        <w:jc w:val="left"/>
        <w:rPr>
          <w:rFonts w:ascii="Times New Roman" w:hAnsi="Times New Roman" w:cs="Times New Roman"/>
          <w:b/>
          <w:sz w:val="22"/>
          <w:szCs w:val="22"/>
        </w:rPr>
      </w:pPr>
    </w:p>
    <w:p w14:paraId="39DF5121">
      <w:pPr>
        <w:pStyle w:val="17"/>
        <w:numPr>
          <w:ilvl w:val="0"/>
          <w:numId w:val="3"/>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spacing w:line="480" w:lineRule="auto"/>
        <w:ind w:firstLine="1134"/>
        <w:jc w:val="both"/>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hint="default" w:ascii="Times New Roman" w:hAnsi="Times New Roman" w:eastAsia="Courier New" w:cs="Times New Roman"/>
          <w:b/>
          <w:spacing w:val="19"/>
          <w:w w:val="115"/>
          <w:sz w:val="22"/>
          <w:szCs w:val="22"/>
          <w:lang w:val="pt-BR" w:eastAsia="en-US" w:bidi="ar-SA"/>
        </w:rPr>
        <w:t>REGISTRO DE PREÇO PARA AQUISIÇÃO DE CONJUNTOS COLETIVOS CJC- COMPOSTOA POR  MESA COM 4 CADEIRAS, CONJUNTO FNDE REFEITORIO M4C-03 E ESCRIVANINHAS PARA ESTUDOS EM MADEIRA INDUSTRIAL</w:t>
      </w:r>
      <w:r>
        <w:rPr>
          <w:rFonts w:hint="default" w:ascii="Times New Roman" w:hAnsi="Times New Roman" w:cs="Times New Roman"/>
          <w:sz w:val="20"/>
          <w:szCs w:val="20"/>
          <w:lang w:val="pt-BR"/>
        </w:rPr>
        <w:t xml:space="preserve"> </w:t>
      </w:r>
      <w:r>
        <w:rPr>
          <w:rFonts w:ascii="Times New Roman" w:hAnsi="Times New Roman" w:cs="Times New Roman"/>
          <w:w w:val="115"/>
          <w:sz w:val="24"/>
          <w:szCs w:val="24"/>
        </w:rPr>
        <w:t>, conforme condições, quantidades e exigências estabelecidas neste Aviso de Contratação Direta e seus anexos.</w:t>
      </w:r>
    </w:p>
    <w:p w14:paraId="1AEFBDFB">
      <w:pPr>
        <w:pStyle w:val="17"/>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7"/>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7"/>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 xml:space="preserve">menor preço </w:t>
      </w:r>
      <w:r>
        <w:rPr>
          <w:rFonts w:ascii="Times New Roman" w:hAnsi="Times New Roman" w:cs="Times New Roman"/>
          <w:b/>
          <w:w w:val="110"/>
          <w:lang w:val="pt-BR"/>
        </w:rPr>
        <w:t>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7"/>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7"/>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7"/>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7"/>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7"/>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7"/>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7"/>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7"/>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7"/>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7"/>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7"/>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7"/>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10"/>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7"/>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7"/>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7"/>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7"/>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7"/>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7"/>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7"/>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7"/>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7"/>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7"/>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7"/>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10"/>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7"/>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7"/>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7"/>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7"/>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7"/>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7"/>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7"/>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10"/>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7"/>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 xml:space="preserve">09h05min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 xml:space="preserve">06 </w:t>
      </w:r>
      <w:r>
        <w:rPr>
          <w:rFonts w:ascii="Times New Roman" w:hAnsi="Times New Roman" w:cs="Times New Roman"/>
          <w:color w:val="000000"/>
          <w:w w:val="115"/>
        </w:rPr>
        <w:t>(seis) horas de disputa.</w:t>
      </w:r>
    </w:p>
    <w:p w14:paraId="7E3AEEBC">
      <w:pPr>
        <w:pStyle w:val="17"/>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7"/>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7"/>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7"/>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7"/>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7"/>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7"/>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7"/>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 xml:space="preserve">06 </w:t>
      </w:r>
      <w:r>
        <w:rPr>
          <w:rFonts w:ascii="Times New Roman" w:hAnsi="Times New Roman" w:cs="Times New Roman"/>
          <w:w w:val="110"/>
        </w:rPr>
        <w:t>(seis) horas de disputa, haverá o seu encerramento, com o ordenamento e divulgação dos lances, pelo sistema, em ordem crescente de classificação.</w:t>
      </w:r>
    </w:p>
    <w:p w14:paraId="1C7A51A3">
      <w:pPr>
        <w:pStyle w:val="17"/>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10"/>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7"/>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7"/>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7"/>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7"/>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7"/>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7"/>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7"/>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7"/>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7"/>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7"/>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7"/>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7"/>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7"/>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7"/>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7"/>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7"/>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7"/>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7"/>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7"/>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7"/>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10"/>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7"/>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7"/>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7"/>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7"/>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7"/>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7"/>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7"/>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7"/>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7"/>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7"/>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7"/>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45.85pt;width:27.75pt;mso-position-horizontal-relative:page;mso-position-vertical-relative:page;z-index:251665408;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HJHyZuwEAAIQDAAAOAAAAZHJzL2Uyb0RvYy54bWyt&#10;U8Fu2zAMvQ/YPwi6L069Zu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q+35TX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HJHyZuwEAAIQDAAAOAAAAAAAAAAEAIAAAACkBAABkcnMvZTJvRG9jLnht&#10;bFBLBQYAAAAABgAGAFkBAABWBQAAAAA=&#10;">
                <v:fill on="f" focussize="0,0"/>
                <v:stroke on="f"/>
                <v:imagedata o:title=""/>
                <o:lock v:ext="edit" aspectratio="f"/>
                <v:textbox inset="0mm,0mm,0mm,0mm" style="layout-flow:vertical;mso-layout-flow-alt:bottom-to-top;">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7"/>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7"/>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7"/>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7"/>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7"/>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7"/>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7"/>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7"/>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10"/>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7"/>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7"/>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7"/>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7"/>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7"/>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10"/>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7"/>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7"/>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10"/>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10"/>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7"/>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7"/>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7"/>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7"/>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7"/>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10"/>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7"/>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7"/>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7"/>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10"/>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7"/>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7"/>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7"/>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7"/>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10"/>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7"/>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7"/>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7"/>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7"/>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7"/>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7"/>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7"/>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7"/>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7"/>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7"/>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7"/>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7"/>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7"/>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7"/>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7"/>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7"/>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7"/>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10"/>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10"/>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10"/>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10"/>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10"/>
        <w:spacing w:before="46"/>
        <w:ind w:left="0"/>
        <w:jc w:val="left"/>
        <w:rPr>
          <w:rFonts w:ascii="Times New Roman" w:hAnsi="Times New Roman" w:cs="Times New Roman"/>
          <w:b/>
          <w:sz w:val="22"/>
          <w:szCs w:val="22"/>
        </w:rPr>
      </w:pPr>
    </w:p>
    <w:p w14:paraId="7AAFE978">
      <w:pPr>
        <w:pStyle w:val="10"/>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spacing w:val="4"/>
          <w:w w:val="115"/>
          <w:sz w:val="22"/>
          <w:szCs w:val="22"/>
          <w:lang w:val="pt-BR"/>
        </w:rPr>
        <w:t xml:space="preserve">13 de maio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499C9D59">
      <w:pPr>
        <w:pStyle w:val="10"/>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128FC027">
      <w:pPr>
        <w:spacing w:line="226" w:lineRule="exact"/>
        <w:ind w:left="20" w:right="164"/>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2FCB467A">
      <w:pPr>
        <w:spacing w:before="165"/>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10"/>
        <w:spacing w:before="34"/>
        <w:ind w:left="0"/>
        <w:jc w:val="left"/>
        <w:rPr>
          <w:rFonts w:ascii="Times New Roman" w:hAnsi="Times New Roman" w:cs="Times New Roman"/>
          <w:b/>
          <w:sz w:val="22"/>
          <w:szCs w:val="22"/>
        </w:rPr>
      </w:pPr>
    </w:p>
    <w:p w14:paraId="5A5DFC5F">
      <w:pPr>
        <w:spacing w:line="360" w:lineRule="auto"/>
        <w:jc w:val="both"/>
        <w:rPr>
          <w:rFonts w:ascii="Arial" w:hAnsi="Arial" w:cs="Arial" w:eastAsiaTheme="majorEastAsia"/>
          <w:bCs/>
          <w:kern w:val="2"/>
          <w:sz w:val="24"/>
          <w:szCs w:val="24"/>
          <w:lang w:eastAsia="en-US"/>
          <w14:ligatures w14:val="standardContextual"/>
        </w:rPr>
      </w:pPr>
      <w:r>
        <w:rPr>
          <w:rFonts w:ascii="Times New Roman" w:hAnsi="Times New Roman" w:cs="Times New Roman"/>
          <w:b/>
          <w:spacing w:val="-2"/>
          <w:w w:val="120"/>
        </w:rPr>
        <w:t>OBJETO:</w:t>
      </w:r>
      <w:r>
        <w:rPr>
          <w:rFonts w:hint="default" w:ascii="Times New Roman" w:hAnsi="Times New Roman" w:cs="Times New Roman"/>
          <w:b/>
          <w:spacing w:val="-2"/>
          <w:w w:val="120"/>
          <w:lang w:val="pt-BR"/>
        </w:rPr>
        <w:t xml:space="preserve"> </w:t>
      </w:r>
      <w:r>
        <w:rPr>
          <w:rFonts w:hint="default" w:ascii="Times New Roman" w:hAnsi="Times New Roman" w:eastAsia="Courier New" w:cs="Times New Roman"/>
          <w:b/>
          <w:spacing w:val="19"/>
          <w:w w:val="115"/>
          <w:sz w:val="22"/>
          <w:szCs w:val="22"/>
          <w:lang w:val="pt-BR" w:eastAsia="en-US" w:bidi="ar-SA"/>
        </w:rPr>
        <w:t>AQUISIÇÃO DE CONJUNTOS COLETIVOS CJC- COMPOSTOA POR  MESA COM 4 CADEIRAS, CONJUNTO FNDE REFEITORIO M4C-03 E ESCRIVANINHAS PARA ESTUDOS EM MADEIRA INDUSTRIAL</w:t>
      </w:r>
    </w:p>
    <w:tbl>
      <w:tblPr>
        <w:tblStyle w:val="7"/>
        <w:tblW w:w="9105" w:type="dxa"/>
        <w:tblInd w:w="70" w:type="dxa"/>
        <w:tblLayout w:type="fixed"/>
        <w:tblCellMar>
          <w:top w:w="0" w:type="dxa"/>
          <w:left w:w="70" w:type="dxa"/>
          <w:bottom w:w="0" w:type="dxa"/>
          <w:right w:w="70" w:type="dxa"/>
        </w:tblCellMar>
      </w:tblPr>
      <w:tblGrid>
        <w:gridCol w:w="739"/>
        <w:gridCol w:w="995"/>
        <w:gridCol w:w="739"/>
        <w:gridCol w:w="6632"/>
      </w:tblGrid>
      <w:tr w14:paraId="631CE3AE">
        <w:tblPrEx>
          <w:tblCellMar>
            <w:top w:w="0" w:type="dxa"/>
            <w:left w:w="70" w:type="dxa"/>
            <w:bottom w:w="0" w:type="dxa"/>
            <w:right w:w="70" w:type="dxa"/>
          </w:tblCellMar>
        </w:tblPrEx>
        <w:trPr>
          <w:trHeight w:val="410" w:hRule="atLeast"/>
        </w:trPr>
        <w:tc>
          <w:tcPr>
            <w:tcW w:w="739" w:type="dxa"/>
            <w:tcBorders>
              <w:top w:val="single" w:color="auto" w:sz="12" w:space="0"/>
              <w:left w:val="single" w:color="auto" w:sz="12" w:space="0"/>
              <w:bottom w:val="single" w:color="auto" w:sz="12" w:space="0"/>
              <w:right w:val="single" w:color="auto" w:sz="12" w:space="0"/>
            </w:tcBorders>
            <w:shd w:val="clear" w:color="auto" w:fill="auto"/>
            <w:vAlign w:val="center"/>
          </w:tcPr>
          <w:p w14:paraId="59DA2D7D">
            <w:pPr>
              <w:spacing w:before="60" w:after="60"/>
              <w:jc w:val="center"/>
              <w:rPr>
                <w:rFonts w:ascii="Arial" w:hAnsi="Arial" w:cs="Arial"/>
                <w:color w:val="000000"/>
                <w:lang w:eastAsia="pt-BR"/>
              </w:rPr>
            </w:pPr>
            <w:r>
              <w:rPr>
                <w:rFonts w:ascii="Arial" w:hAnsi="Arial" w:cs="Arial"/>
                <w:color w:val="000000"/>
                <w:lang w:eastAsia="pt-BR"/>
              </w:rPr>
              <w:t>ITEM</w:t>
            </w:r>
          </w:p>
        </w:tc>
        <w:tc>
          <w:tcPr>
            <w:tcW w:w="995" w:type="dxa"/>
            <w:tcBorders>
              <w:top w:val="single" w:color="auto" w:sz="12" w:space="0"/>
              <w:left w:val="nil"/>
              <w:bottom w:val="single" w:color="auto" w:sz="12" w:space="0"/>
              <w:right w:val="single" w:color="auto" w:sz="12" w:space="0"/>
            </w:tcBorders>
            <w:shd w:val="clear" w:color="auto" w:fill="auto"/>
            <w:vAlign w:val="center"/>
          </w:tcPr>
          <w:p w14:paraId="220FF478">
            <w:pPr>
              <w:spacing w:before="60" w:after="60"/>
              <w:jc w:val="center"/>
              <w:rPr>
                <w:rFonts w:ascii="Arial" w:hAnsi="Arial" w:cs="Arial"/>
                <w:color w:val="000000"/>
                <w:lang w:eastAsia="pt-BR"/>
              </w:rPr>
            </w:pPr>
            <w:r>
              <w:rPr>
                <w:rFonts w:ascii="Arial" w:hAnsi="Arial" w:cs="Arial"/>
                <w:color w:val="000000"/>
                <w:lang w:eastAsia="pt-BR"/>
              </w:rPr>
              <w:t>QUANT</w:t>
            </w:r>
          </w:p>
        </w:tc>
        <w:tc>
          <w:tcPr>
            <w:tcW w:w="739" w:type="dxa"/>
            <w:tcBorders>
              <w:top w:val="single" w:color="auto" w:sz="12" w:space="0"/>
              <w:left w:val="nil"/>
              <w:bottom w:val="single" w:color="auto" w:sz="12" w:space="0"/>
              <w:right w:val="single" w:color="auto" w:sz="12" w:space="0"/>
            </w:tcBorders>
            <w:vAlign w:val="center"/>
          </w:tcPr>
          <w:p w14:paraId="59227430">
            <w:pPr>
              <w:spacing w:before="60" w:after="60"/>
              <w:ind w:left="-57"/>
              <w:jc w:val="center"/>
              <w:rPr>
                <w:rFonts w:ascii="Arial" w:hAnsi="Arial" w:cs="Arial"/>
                <w:color w:val="000000"/>
                <w:lang w:eastAsia="pt-BR"/>
              </w:rPr>
            </w:pPr>
            <w:r>
              <w:rPr>
                <w:rFonts w:ascii="Arial" w:hAnsi="Arial" w:cs="Arial"/>
                <w:color w:val="000000"/>
                <w:lang w:eastAsia="pt-BR"/>
              </w:rPr>
              <w:t>UNID</w:t>
            </w:r>
          </w:p>
        </w:tc>
        <w:tc>
          <w:tcPr>
            <w:tcW w:w="6632" w:type="dxa"/>
            <w:tcBorders>
              <w:top w:val="single" w:color="auto" w:sz="12" w:space="0"/>
              <w:left w:val="single" w:color="auto" w:sz="12" w:space="0"/>
              <w:bottom w:val="single" w:color="auto" w:sz="12" w:space="0"/>
              <w:right w:val="single" w:color="auto" w:sz="12" w:space="0"/>
            </w:tcBorders>
            <w:vAlign w:val="center"/>
          </w:tcPr>
          <w:p w14:paraId="19D0320D">
            <w:pPr>
              <w:spacing w:before="60" w:after="60"/>
              <w:jc w:val="center"/>
              <w:rPr>
                <w:rFonts w:ascii="Arial" w:hAnsi="Arial" w:cs="Arial"/>
                <w:color w:val="000000"/>
                <w:lang w:eastAsia="pt-BR"/>
              </w:rPr>
            </w:pPr>
            <w:r>
              <w:rPr>
                <w:rFonts w:ascii="Arial" w:hAnsi="Arial" w:cs="Arial"/>
                <w:color w:val="000000"/>
                <w:lang w:eastAsia="pt-BR"/>
              </w:rPr>
              <w:t>PRODUTO/DESCRIÇÃO</w:t>
            </w:r>
          </w:p>
        </w:tc>
      </w:tr>
      <w:tr w14:paraId="40837E5A">
        <w:tblPrEx>
          <w:tblCellMar>
            <w:top w:w="0" w:type="dxa"/>
            <w:left w:w="70" w:type="dxa"/>
            <w:bottom w:w="0" w:type="dxa"/>
            <w:right w:w="70" w:type="dxa"/>
          </w:tblCellMar>
        </w:tblPrEx>
        <w:trPr>
          <w:trHeight w:val="666" w:hRule="atLeast"/>
        </w:trPr>
        <w:tc>
          <w:tcPr>
            <w:tcW w:w="739" w:type="dxa"/>
            <w:tcBorders>
              <w:top w:val="single" w:color="auto" w:sz="12" w:space="0"/>
              <w:left w:val="single" w:color="auto" w:sz="12" w:space="0"/>
              <w:bottom w:val="single" w:color="auto" w:sz="12" w:space="0"/>
              <w:right w:val="single" w:color="auto" w:sz="12" w:space="0"/>
            </w:tcBorders>
            <w:shd w:val="clear" w:color="auto" w:fill="auto"/>
            <w:vAlign w:val="center"/>
          </w:tcPr>
          <w:p w14:paraId="125EF563">
            <w:pPr>
              <w:numPr>
                <w:ilvl w:val="0"/>
                <w:numId w:val="12"/>
              </w:numPr>
              <w:suppressAutoHyphens w:val="0"/>
              <w:spacing w:before="60" w:after="60"/>
              <w:ind w:left="530"/>
              <w:jc w:val="center"/>
              <w:rPr>
                <w:rFonts w:ascii="Arial" w:hAnsi="Arial" w:cs="Arial"/>
                <w:color w:val="000000"/>
                <w:lang w:eastAsia="pt-BR"/>
              </w:rPr>
            </w:pPr>
          </w:p>
        </w:tc>
        <w:tc>
          <w:tcPr>
            <w:tcW w:w="995" w:type="dxa"/>
            <w:tcBorders>
              <w:top w:val="single" w:color="auto" w:sz="12" w:space="0"/>
              <w:left w:val="nil"/>
              <w:bottom w:val="single" w:color="auto" w:sz="12" w:space="0"/>
              <w:right w:val="single" w:color="auto" w:sz="12" w:space="0"/>
            </w:tcBorders>
            <w:shd w:val="clear" w:color="auto" w:fill="auto"/>
            <w:vAlign w:val="center"/>
          </w:tcPr>
          <w:p w14:paraId="5FF89E98">
            <w:pPr>
              <w:spacing w:before="60" w:after="60"/>
              <w:jc w:val="center"/>
              <w:textAlignment w:val="baseline"/>
              <w:rPr>
                <w:rFonts w:ascii="Arial" w:hAnsi="Arial" w:cs="Arial"/>
              </w:rPr>
            </w:pPr>
            <w:r>
              <w:rPr>
                <w:rFonts w:ascii="Arial" w:hAnsi="Arial" w:cs="Arial"/>
              </w:rPr>
              <w:t>13</w:t>
            </w:r>
          </w:p>
        </w:tc>
        <w:tc>
          <w:tcPr>
            <w:tcW w:w="739" w:type="dxa"/>
            <w:tcBorders>
              <w:top w:val="single" w:color="auto" w:sz="12" w:space="0"/>
              <w:left w:val="nil"/>
              <w:bottom w:val="single" w:color="auto" w:sz="12" w:space="0"/>
              <w:right w:val="single" w:color="auto" w:sz="12" w:space="0"/>
            </w:tcBorders>
            <w:vAlign w:val="center"/>
          </w:tcPr>
          <w:p w14:paraId="5FE91FEF">
            <w:pPr>
              <w:spacing w:before="60" w:after="60"/>
              <w:jc w:val="center"/>
              <w:rPr>
                <w:rFonts w:ascii="Arial" w:hAnsi="Arial" w:cs="Arial"/>
              </w:rPr>
            </w:pPr>
            <w:r>
              <w:rPr>
                <w:rFonts w:ascii="Arial" w:hAnsi="Arial" w:cs="Arial"/>
              </w:rPr>
              <w:t>UND</w:t>
            </w:r>
          </w:p>
        </w:tc>
        <w:tc>
          <w:tcPr>
            <w:tcW w:w="6632" w:type="dxa"/>
            <w:tcBorders>
              <w:top w:val="single" w:color="auto" w:sz="12" w:space="0"/>
              <w:left w:val="single" w:color="auto" w:sz="12" w:space="0"/>
              <w:bottom w:val="single" w:color="auto" w:sz="12" w:space="0"/>
              <w:right w:val="single" w:color="auto" w:sz="12" w:space="0"/>
            </w:tcBorders>
          </w:tcPr>
          <w:p w14:paraId="73F088C9">
            <w:pPr>
              <w:spacing w:before="60" w:after="60"/>
              <w:jc w:val="both"/>
              <w:rPr>
                <w:rFonts w:ascii="Arial" w:hAnsi="Arial" w:cs="Arial"/>
                <w:b/>
                <w:bCs/>
              </w:rPr>
            </w:pPr>
            <w:r>
              <w:rPr>
                <w:rFonts w:ascii="Arial" w:hAnsi="Arial" w:cs="Arial"/>
                <w:b/>
                <w:bCs/>
              </w:rPr>
              <w:t>CONJUNTO COLETIVO CJC 01 MESA COM 4CADEIRAS</w:t>
            </w:r>
          </w:p>
          <w:p w14:paraId="6DBC8D37">
            <w:pPr>
              <w:spacing w:before="60" w:after="60"/>
              <w:jc w:val="both"/>
              <w:rPr>
                <w:rFonts w:ascii="Arial" w:hAnsi="Arial" w:cs="Arial"/>
              </w:rPr>
            </w:pPr>
            <w:r>
              <w:rPr>
                <w:rFonts w:ascii="Arial" w:hAnsi="Arial" w:cs="Arial"/>
              </w:rPr>
              <w:t>Mesa - Tampo em madeira aglomerada (MDP), com espessura de 25 mm, revestido na face superior em laminado melamínico de alta pressão, 0,8 mm de espessura, acabamento texturizado, na cor CINZA.</w:t>
            </w:r>
          </w:p>
          <w:p w14:paraId="068703BA">
            <w:pPr>
              <w:spacing w:before="60" w:after="60"/>
              <w:jc w:val="both"/>
              <w:rPr>
                <w:rFonts w:ascii="Arial" w:hAnsi="Arial" w:cs="Arial"/>
              </w:rPr>
            </w:pPr>
            <w:r>
              <w:rPr>
                <w:rFonts w:ascii="Arial" w:hAnsi="Arial" w:cs="Arial"/>
              </w:rPr>
              <w:t>Revestimento na face inferior em laminado melamínico de baixa pressão - BP, na cor BRANCA. Furação e colocação de buchas em zamac, autoatarraxantes, rosca interna 1/4 x 13 mm de comprimento, conforme projeto e detalhamento. Dimensões acabadas 800 mm (largura) x 800 mm (comprimento) x 25,8 mm (espessura), admitindo-se tolerância de até + 2 mm para largura e comprimento e +/-1 mm para espessura. Topos encabeçados com fita de bordo em PVC (cloreto de polinivinila) com "primer", acabamento texturizado, na cor LARANJA, coladas com adesivo "Hot Melting". Dimensões nominais de 29 mm (largura) x 3 mm(espessura), com tolerância de até 2,5 mm para espessura. Estrutura da mesa compostas de: - Pés confeccionados em tubo de aço carbono, laminado a frio, com costura, ® = 38 mm (1 1/2"), em chapa 16 (1,5</w:t>
            </w:r>
          </w:p>
          <w:p w14:paraId="2A1EE346">
            <w:pPr>
              <w:spacing w:before="60" w:after="60"/>
              <w:jc w:val="both"/>
              <w:rPr>
                <w:rFonts w:ascii="Arial" w:hAnsi="Arial" w:cs="Arial"/>
              </w:rPr>
            </w:pPr>
            <w:r>
              <w:rPr>
                <w:rFonts w:ascii="Arial" w:hAnsi="Arial" w:cs="Arial"/>
              </w:rPr>
              <w:t>- Travessas em tubo de aço carbono, laminado a frio, com costura, secção retangular de 20 mm x 40 mm, em chapa 16 (1,5 mm); - Segmento de tubo h = 40 mm, em chapa 16 (1,5 mm). Altura da mesa: 46 cm.Tampo da mesa quadrada para 04 lugares: 80 cm x 80cm.</w:t>
            </w:r>
          </w:p>
          <w:p w14:paraId="0D7AF130">
            <w:pPr>
              <w:spacing w:before="60" w:after="60"/>
              <w:jc w:val="both"/>
              <w:rPr>
                <w:rFonts w:ascii="Arial" w:hAnsi="Arial" w:cs="Arial"/>
              </w:rPr>
            </w:pPr>
            <w:r>
              <w:rPr>
                <w:rFonts w:ascii="Arial" w:hAnsi="Arial" w:cs="Arial"/>
              </w:rPr>
              <w:t>Altura do assento da cadeira ao chão: 26 cm Assento da cadeira: 26 cm x 34 cm Encosto da cadeira: 15,5 cm x 35 cm</w:t>
            </w:r>
          </w:p>
        </w:tc>
      </w:tr>
      <w:tr w14:paraId="680FA51B">
        <w:tblPrEx>
          <w:tblCellMar>
            <w:top w:w="0" w:type="dxa"/>
            <w:left w:w="70" w:type="dxa"/>
            <w:bottom w:w="0" w:type="dxa"/>
            <w:right w:w="70" w:type="dxa"/>
          </w:tblCellMar>
        </w:tblPrEx>
        <w:trPr>
          <w:trHeight w:val="796" w:hRule="atLeast"/>
        </w:trPr>
        <w:tc>
          <w:tcPr>
            <w:tcW w:w="739" w:type="dxa"/>
            <w:tcBorders>
              <w:top w:val="single" w:color="auto" w:sz="12" w:space="0"/>
              <w:left w:val="single" w:color="auto" w:sz="12" w:space="0"/>
              <w:bottom w:val="single" w:color="auto" w:sz="12" w:space="0"/>
              <w:right w:val="single" w:color="auto" w:sz="12" w:space="0"/>
            </w:tcBorders>
            <w:shd w:val="clear" w:color="auto" w:fill="auto"/>
            <w:vAlign w:val="center"/>
          </w:tcPr>
          <w:p w14:paraId="0F931A37">
            <w:pPr>
              <w:numPr>
                <w:ilvl w:val="0"/>
                <w:numId w:val="12"/>
              </w:numPr>
              <w:suppressAutoHyphens w:val="0"/>
              <w:spacing w:before="60" w:after="60"/>
              <w:ind w:left="530"/>
              <w:jc w:val="center"/>
              <w:rPr>
                <w:rFonts w:ascii="Arial" w:hAnsi="Arial" w:cs="Arial"/>
                <w:color w:val="000000"/>
                <w:lang w:eastAsia="pt-BR"/>
              </w:rPr>
            </w:pPr>
          </w:p>
        </w:tc>
        <w:tc>
          <w:tcPr>
            <w:tcW w:w="995" w:type="dxa"/>
            <w:tcBorders>
              <w:top w:val="single" w:color="auto" w:sz="12" w:space="0"/>
              <w:left w:val="nil"/>
              <w:bottom w:val="single" w:color="auto" w:sz="12" w:space="0"/>
              <w:right w:val="single" w:color="auto" w:sz="12" w:space="0"/>
            </w:tcBorders>
            <w:shd w:val="clear" w:color="auto" w:fill="auto"/>
            <w:vAlign w:val="center"/>
          </w:tcPr>
          <w:p w14:paraId="19616974">
            <w:pPr>
              <w:spacing w:before="60" w:after="60"/>
              <w:jc w:val="center"/>
              <w:textAlignment w:val="baseline"/>
              <w:rPr>
                <w:rFonts w:ascii="Arial" w:hAnsi="Arial" w:cs="Arial"/>
              </w:rPr>
            </w:pPr>
            <w:r>
              <w:rPr>
                <w:rFonts w:ascii="Arial" w:hAnsi="Arial" w:cs="Arial"/>
              </w:rPr>
              <w:t>2</w:t>
            </w:r>
          </w:p>
        </w:tc>
        <w:tc>
          <w:tcPr>
            <w:tcW w:w="739" w:type="dxa"/>
            <w:tcBorders>
              <w:top w:val="single" w:color="auto" w:sz="12" w:space="0"/>
              <w:left w:val="nil"/>
              <w:bottom w:val="single" w:color="auto" w:sz="12" w:space="0"/>
              <w:right w:val="single" w:color="auto" w:sz="12" w:space="0"/>
            </w:tcBorders>
            <w:vAlign w:val="center"/>
          </w:tcPr>
          <w:p w14:paraId="491746D4">
            <w:pPr>
              <w:spacing w:before="60" w:after="60"/>
              <w:jc w:val="center"/>
              <w:rPr>
                <w:rFonts w:ascii="Arial" w:hAnsi="Arial" w:cs="Arial"/>
                <w:color w:val="000000"/>
                <w:lang w:eastAsia="pt-BR"/>
              </w:rPr>
            </w:pPr>
            <w:r>
              <w:rPr>
                <w:rFonts w:ascii="Arial" w:hAnsi="Arial" w:cs="Arial"/>
              </w:rPr>
              <w:t>UND</w:t>
            </w:r>
          </w:p>
        </w:tc>
        <w:tc>
          <w:tcPr>
            <w:tcW w:w="6632" w:type="dxa"/>
            <w:tcBorders>
              <w:top w:val="single" w:color="auto" w:sz="12" w:space="0"/>
              <w:left w:val="single" w:color="auto" w:sz="12" w:space="0"/>
              <w:bottom w:val="single" w:color="auto" w:sz="12" w:space="0"/>
              <w:right w:val="single" w:color="auto" w:sz="12" w:space="0"/>
            </w:tcBorders>
            <w:vAlign w:val="center"/>
          </w:tcPr>
          <w:p w14:paraId="1D051BFE">
            <w:pPr>
              <w:spacing w:before="60" w:after="60"/>
              <w:jc w:val="both"/>
              <w:rPr>
                <w:rFonts w:ascii="Arial" w:hAnsi="Arial" w:cs="Arial"/>
                <w:color w:val="000000"/>
                <w:lang w:eastAsia="pt-BR"/>
              </w:rPr>
            </w:pPr>
            <w:r>
              <w:rPr>
                <w:rFonts w:ascii="Arial" w:hAnsi="Arial" w:cs="Arial"/>
                <w:b/>
                <w:bCs/>
                <w:color w:val="000000"/>
                <w:lang w:eastAsia="pt-BR"/>
              </w:rPr>
              <w:t>Escrivaninha para estudos em madeira industrial</w:t>
            </w:r>
            <w:r>
              <w:rPr>
                <w:rFonts w:ascii="Arial" w:hAnsi="Arial" w:cs="Arial"/>
                <w:color w:val="000000"/>
                <w:lang w:eastAsia="pt-BR"/>
              </w:rPr>
              <w:t xml:space="preserve">, Produzido em MDF, Partes em MDP, Pintura em UV, </w:t>
            </w:r>
            <w:r>
              <w:rPr>
                <w:rFonts w:ascii="Arial" w:hAnsi="Arial" w:cs="Arial"/>
                <w:b/>
                <w:bCs/>
                <w:color w:val="000000"/>
                <w:lang w:eastAsia="pt-BR"/>
              </w:rPr>
              <w:t>Informações Técnicas</w:t>
            </w:r>
            <w:r>
              <w:rPr>
                <w:rFonts w:ascii="Arial" w:hAnsi="Arial" w:cs="Arial"/>
                <w:color w:val="000000"/>
                <w:lang w:eastAsia="pt-BR"/>
              </w:rPr>
              <w:t>: Altura: 134 cm, Largura: 121 cm, Profundidade: 47 cm</w:t>
            </w:r>
          </w:p>
        </w:tc>
      </w:tr>
      <w:tr w14:paraId="0BEBF99F">
        <w:tblPrEx>
          <w:tblCellMar>
            <w:top w:w="0" w:type="dxa"/>
            <w:left w:w="70" w:type="dxa"/>
            <w:bottom w:w="0" w:type="dxa"/>
            <w:right w:w="70" w:type="dxa"/>
          </w:tblCellMar>
        </w:tblPrEx>
        <w:trPr>
          <w:trHeight w:val="512" w:hRule="atLeast"/>
        </w:trPr>
        <w:tc>
          <w:tcPr>
            <w:tcW w:w="739" w:type="dxa"/>
            <w:tcBorders>
              <w:top w:val="single" w:color="auto" w:sz="12" w:space="0"/>
              <w:left w:val="single" w:color="auto" w:sz="12" w:space="0"/>
              <w:bottom w:val="single" w:color="auto" w:sz="12" w:space="0"/>
              <w:right w:val="single" w:color="auto" w:sz="12" w:space="0"/>
            </w:tcBorders>
            <w:shd w:val="clear" w:color="auto" w:fill="auto"/>
            <w:vAlign w:val="center"/>
          </w:tcPr>
          <w:p w14:paraId="1DDB9CB8">
            <w:pPr>
              <w:numPr>
                <w:ilvl w:val="0"/>
                <w:numId w:val="12"/>
              </w:numPr>
              <w:suppressAutoHyphens w:val="0"/>
              <w:spacing w:before="60" w:after="60"/>
              <w:ind w:left="530"/>
              <w:jc w:val="center"/>
              <w:rPr>
                <w:rFonts w:ascii="Arial" w:hAnsi="Arial" w:cs="Arial"/>
                <w:color w:val="000000"/>
                <w:lang w:eastAsia="pt-BR"/>
              </w:rPr>
            </w:pPr>
          </w:p>
        </w:tc>
        <w:tc>
          <w:tcPr>
            <w:tcW w:w="995" w:type="dxa"/>
            <w:tcBorders>
              <w:top w:val="single" w:color="auto" w:sz="12" w:space="0"/>
              <w:left w:val="nil"/>
              <w:bottom w:val="single" w:color="auto" w:sz="12" w:space="0"/>
              <w:right w:val="single" w:color="auto" w:sz="12" w:space="0"/>
            </w:tcBorders>
            <w:shd w:val="clear" w:color="auto" w:fill="auto"/>
            <w:vAlign w:val="center"/>
          </w:tcPr>
          <w:p w14:paraId="0D17FEFC">
            <w:pPr>
              <w:spacing w:before="60" w:after="60"/>
              <w:jc w:val="center"/>
              <w:textAlignment w:val="baseline"/>
              <w:rPr>
                <w:rFonts w:ascii="Arial" w:hAnsi="Arial" w:cs="Arial"/>
              </w:rPr>
            </w:pPr>
            <w:r>
              <w:rPr>
                <w:rFonts w:ascii="Arial" w:hAnsi="Arial" w:cs="Arial"/>
              </w:rPr>
              <w:t>2</w:t>
            </w:r>
          </w:p>
        </w:tc>
        <w:tc>
          <w:tcPr>
            <w:tcW w:w="739" w:type="dxa"/>
            <w:tcBorders>
              <w:top w:val="single" w:color="auto" w:sz="12" w:space="0"/>
              <w:left w:val="nil"/>
              <w:bottom w:val="single" w:color="auto" w:sz="12" w:space="0"/>
              <w:right w:val="single" w:color="auto" w:sz="12" w:space="0"/>
            </w:tcBorders>
            <w:vAlign w:val="center"/>
          </w:tcPr>
          <w:p w14:paraId="6C9DCF9A">
            <w:pPr>
              <w:spacing w:before="60" w:after="60"/>
              <w:jc w:val="center"/>
              <w:rPr>
                <w:rFonts w:ascii="Arial" w:hAnsi="Arial" w:cs="Arial"/>
              </w:rPr>
            </w:pPr>
            <w:r>
              <w:rPr>
                <w:rFonts w:ascii="Arial" w:hAnsi="Arial" w:cs="Arial"/>
              </w:rPr>
              <w:t>UND</w:t>
            </w:r>
          </w:p>
        </w:tc>
        <w:tc>
          <w:tcPr>
            <w:tcW w:w="6632" w:type="dxa"/>
            <w:tcBorders>
              <w:top w:val="single" w:color="auto" w:sz="12" w:space="0"/>
              <w:left w:val="single" w:color="auto" w:sz="12" w:space="0"/>
              <w:bottom w:val="single" w:color="auto" w:sz="12" w:space="0"/>
              <w:right w:val="single" w:color="auto" w:sz="12" w:space="0"/>
            </w:tcBorders>
            <w:vAlign w:val="center"/>
          </w:tcPr>
          <w:p w14:paraId="28D6F27B">
            <w:pPr>
              <w:spacing w:before="60" w:after="60"/>
              <w:rPr>
                <w:rFonts w:ascii="Arial" w:hAnsi="Arial" w:cs="Arial"/>
                <w:color w:val="000000"/>
                <w:lang w:eastAsia="pt-BR"/>
              </w:rPr>
            </w:pPr>
            <w:r>
              <w:rPr>
                <w:rFonts w:ascii="Arial" w:hAnsi="Arial" w:cs="Arial"/>
                <w:b/>
                <w:bCs/>
                <w:sz w:val="24"/>
                <w:szCs w:val="24"/>
                <w:lang w:eastAsia="pt-BR"/>
              </w:rPr>
              <w:t xml:space="preserve">Conjunto FNDE Refeitório M4C-03 </w:t>
            </w:r>
            <w:r>
              <w:rPr>
                <w:rFonts w:ascii="Arial" w:hAnsi="Arial" w:cs="Arial"/>
                <w:color w:val="000000"/>
                <w:lang w:eastAsia="pt-BR"/>
              </w:rPr>
              <w:t>Mesa: estrutura com pés em tubo de aço 1 1/2" em chapa 16 (1,5mm). Ref: M4C-03 Mesa.Travessa longitudinal em tubo de aço 40x40mm em chapa 16 (1,5mm). Travessas transversais em tubo de secção retangular 20x50mm em chapa 16 (1,5mm). Suportes estruturais e de fixação do tampo em chapa de aço espessura de 3mm. Aletas de fixação do tampo em chapa de aço 14 (1,9mm). Fixação do tampo à estruturas através de 02 parafusos 4.5x50 FH chato dourado e parafusos para aglomerado, de 4,5mm x 22mm, cabeça panela, fenda Phillips, bicromatizados. Ponteiras e sapatas em polipropileno copolímero virgem e sem cargas, injetadas na cor amarela fixadas à estrutura através de encaixe. Tampo(1200x600mm) em madeira aglomerada (MDP) espessura de 25mm, revestido na face superior em laminado melamínico de alta pressão, 0,8mm de espessura, acabamento frost, na cor branca. Revestimento na face inferior em laminado melamínico de baixa pressão - BP, acabamento frost, na cor branca. Topos transversais e longitudinais encabeçados com fita de bordo em PVC com primer, 29mm (largura) x 3mm (espessura), na cor amarela coladas com adesivo "Hot Melting". Altura 590mm.</w:t>
            </w:r>
          </w:p>
          <w:p w14:paraId="7D3240C6">
            <w:pPr>
              <w:spacing w:before="60" w:after="60"/>
              <w:rPr>
                <w:rFonts w:ascii="Arial" w:hAnsi="Arial" w:cs="Arial"/>
                <w:color w:val="000000"/>
                <w:lang w:eastAsia="pt-BR"/>
              </w:rPr>
            </w:pPr>
          </w:p>
        </w:tc>
      </w:tr>
    </w:tbl>
    <w:p w14:paraId="42E1BF7D">
      <w:pPr>
        <w:spacing w:line="360" w:lineRule="auto"/>
        <w:jc w:val="both"/>
        <w:rPr>
          <w:rFonts w:ascii="Arial" w:hAnsi="Arial" w:cs="Arial" w:eastAsiaTheme="majorEastAsia"/>
          <w:bCs/>
          <w:kern w:val="2"/>
          <w:sz w:val="24"/>
          <w:szCs w:val="24"/>
          <w:lang w:eastAsia="en-US"/>
          <w14:ligatures w14:val="standardContextual"/>
        </w:rPr>
      </w:pPr>
    </w:p>
    <w:p w14:paraId="0A57A81F">
      <w:pPr>
        <w:spacing w:line="360" w:lineRule="auto"/>
        <w:jc w:val="both"/>
        <w:rPr>
          <w:rFonts w:ascii="Arial" w:hAnsi="Arial" w:cs="Arial"/>
          <w:sz w:val="20"/>
          <w:szCs w:val="20"/>
          <w:lang w:eastAsia="pt-BR"/>
        </w:rPr>
      </w:pPr>
    </w:p>
    <w:p w14:paraId="754C54AF">
      <w:pPr>
        <w:spacing w:line="360" w:lineRule="auto"/>
        <w:jc w:val="both"/>
        <w:rPr>
          <w:rFonts w:ascii="Arial" w:hAnsi="Arial" w:cs="Arial"/>
          <w:sz w:val="20"/>
          <w:szCs w:val="20"/>
          <w:lang w:eastAsia="pt-BR"/>
        </w:rPr>
      </w:pPr>
    </w:p>
    <w:p w14:paraId="2C216366">
      <w:pPr>
        <w:spacing w:line="360" w:lineRule="auto"/>
        <w:jc w:val="both"/>
        <w:rPr>
          <w:rFonts w:ascii="Arial" w:hAnsi="Arial" w:cs="Arial"/>
          <w:sz w:val="20"/>
          <w:szCs w:val="20"/>
          <w:lang w:eastAsia="pt-BR"/>
        </w:rPr>
      </w:pPr>
    </w:p>
    <w:p w14:paraId="032BB72E">
      <w:pPr>
        <w:spacing w:line="360" w:lineRule="auto"/>
        <w:jc w:val="both"/>
        <w:rPr>
          <w:rFonts w:ascii="Arial" w:hAnsi="Arial" w:cs="Arial"/>
          <w:sz w:val="20"/>
          <w:szCs w:val="20"/>
          <w:lang w:eastAsia="pt-BR"/>
        </w:rPr>
      </w:pPr>
    </w:p>
    <w:p w14:paraId="426FB2AC">
      <w:pPr>
        <w:spacing w:line="360" w:lineRule="auto"/>
        <w:jc w:val="both"/>
        <w:rPr>
          <w:rFonts w:ascii="Arial" w:hAnsi="Arial" w:cs="Arial"/>
          <w:sz w:val="20"/>
          <w:szCs w:val="20"/>
          <w:lang w:eastAsia="pt-BR"/>
        </w:rPr>
      </w:pPr>
    </w:p>
    <w:p w14:paraId="3EF79FBA">
      <w:pPr>
        <w:spacing w:line="360" w:lineRule="auto"/>
        <w:jc w:val="both"/>
        <w:rPr>
          <w:rFonts w:ascii="Arial" w:hAnsi="Arial" w:cs="Arial"/>
          <w:sz w:val="20"/>
          <w:szCs w:val="20"/>
          <w:lang w:eastAsia="pt-BR"/>
        </w:rPr>
      </w:pPr>
    </w:p>
    <w:p w14:paraId="20DBA783">
      <w:pPr>
        <w:spacing w:line="360" w:lineRule="auto"/>
        <w:jc w:val="both"/>
        <w:rPr>
          <w:rFonts w:ascii="Arial" w:hAnsi="Arial" w:cs="Arial"/>
          <w:sz w:val="20"/>
          <w:szCs w:val="20"/>
          <w:lang w:eastAsia="pt-BR"/>
        </w:rPr>
      </w:pPr>
    </w:p>
    <w:p w14:paraId="6A48AA20">
      <w:pPr>
        <w:spacing w:line="360" w:lineRule="auto"/>
        <w:jc w:val="both"/>
        <w:rPr>
          <w:rFonts w:ascii="Arial" w:hAnsi="Arial" w:cs="Arial"/>
          <w:sz w:val="20"/>
          <w:szCs w:val="20"/>
          <w:lang w:eastAsia="pt-BR"/>
        </w:rPr>
      </w:pPr>
    </w:p>
    <w:p w14:paraId="6ECEF53F">
      <w:pPr>
        <w:spacing w:line="360" w:lineRule="auto"/>
        <w:jc w:val="both"/>
        <w:rPr>
          <w:rFonts w:ascii="Arial" w:hAnsi="Arial" w:cs="Arial"/>
          <w:sz w:val="20"/>
          <w:szCs w:val="20"/>
          <w:lang w:eastAsia="pt-BR"/>
        </w:rPr>
      </w:pPr>
    </w:p>
    <w:p w14:paraId="58C38371">
      <w:pPr>
        <w:spacing w:line="360" w:lineRule="auto"/>
        <w:jc w:val="both"/>
        <w:rPr>
          <w:rFonts w:ascii="Arial" w:hAnsi="Arial" w:cs="Arial"/>
          <w:sz w:val="20"/>
          <w:szCs w:val="20"/>
          <w:lang w:eastAsia="pt-BR"/>
        </w:rPr>
      </w:pPr>
    </w:p>
    <w:p w14:paraId="6491A5E8">
      <w:pPr>
        <w:spacing w:line="360" w:lineRule="auto"/>
        <w:jc w:val="both"/>
        <w:rPr>
          <w:rFonts w:ascii="Arial" w:hAnsi="Arial" w:cs="Arial"/>
          <w:sz w:val="20"/>
          <w:szCs w:val="20"/>
          <w:lang w:eastAsia="pt-BR"/>
        </w:rPr>
      </w:pPr>
    </w:p>
    <w:p w14:paraId="49C39888">
      <w:pPr>
        <w:spacing w:line="360" w:lineRule="auto"/>
        <w:jc w:val="both"/>
        <w:rPr>
          <w:rFonts w:ascii="Arial" w:hAnsi="Arial" w:cs="Arial"/>
          <w:sz w:val="20"/>
          <w:szCs w:val="20"/>
          <w:lang w:eastAsia="pt-BR"/>
        </w:rPr>
      </w:pPr>
    </w:p>
    <w:p w14:paraId="05851427">
      <w:pPr>
        <w:spacing w:line="360" w:lineRule="auto"/>
        <w:jc w:val="both"/>
        <w:rPr>
          <w:rFonts w:ascii="Arial" w:hAnsi="Arial" w:cs="Arial"/>
          <w:sz w:val="20"/>
          <w:szCs w:val="20"/>
          <w:lang w:eastAsia="pt-BR"/>
        </w:rPr>
      </w:pPr>
    </w:p>
    <w:p w14:paraId="3CF8731E">
      <w:pPr>
        <w:spacing w:line="360" w:lineRule="auto"/>
        <w:jc w:val="both"/>
        <w:rPr>
          <w:rFonts w:ascii="Arial" w:hAnsi="Arial" w:cs="Arial"/>
          <w:sz w:val="20"/>
          <w:szCs w:val="20"/>
          <w:lang w:eastAsia="pt-BR"/>
        </w:rPr>
      </w:pPr>
    </w:p>
    <w:p w14:paraId="14200C03">
      <w:pPr>
        <w:spacing w:line="360" w:lineRule="auto"/>
        <w:jc w:val="both"/>
        <w:rPr>
          <w:rFonts w:ascii="Arial" w:hAnsi="Arial" w:cs="Arial"/>
          <w:sz w:val="20"/>
          <w:szCs w:val="20"/>
          <w:lang w:eastAsia="pt-BR"/>
        </w:rPr>
      </w:pPr>
    </w:p>
    <w:p w14:paraId="2D0E6E9D">
      <w:pPr>
        <w:spacing w:line="360" w:lineRule="auto"/>
        <w:jc w:val="both"/>
        <w:rPr>
          <w:rFonts w:ascii="Arial" w:hAnsi="Arial" w:cs="Arial"/>
          <w:sz w:val="20"/>
          <w:szCs w:val="20"/>
          <w:lang w:eastAsia="pt-BR"/>
        </w:rPr>
      </w:pPr>
    </w:p>
    <w:p w14:paraId="44B798FA">
      <w:pPr>
        <w:spacing w:line="360" w:lineRule="auto"/>
        <w:jc w:val="both"/>
        <w:rPr>
          <w:rFonts w:ascii="Arial" w:hAnsi="Arial" w:cs="Arial"/>
          <w:sz w:val="20"/>
          <w:szCs w:val="20"/>
          <w:lang w:eastAsia="pt-BR"/>
        </w:rPr>
      </w:pPr>
    </w:p>
    <w:p w14:paraId="342EED4B">
      <w:pPr>
        <w:spacing w:line="360" w:lineRule="auto"/>
        <w:jc w:val="both"/>
        <w:rPr>
          <w:rFonts w:ascii="Arial" w:hAnsi="Arial" w:cs="Arial"/>
          <w:sz w:val="20"/>
          <w:szCs w:val="20"/>
          <w:lang w:eastAsia="pt-BR"/>
        </w:rPr>
      </w:pPr>
    </w:p>
    <w:p w14:paraId="1FC53F6C">
      <w:pPr>
        <w:spacing w:line="360" w:lineRule="auto"/>
        <w:jc w:val="both"/>
        <w:rPr>
          <w:rFonts w:ascii="Arial" w:hAnsi="Arial" w:cs="Arial"/>
          <w:sz w:val="20"/>
          <w:szCs w:val="20"/>
          <w:lang w:eastAsia="pt-BR"/>
        </w:rPr>
      </w:pPr>
    </w:p>
    <w:p w14:paraId="0E34D5C2">
      <w:pPr>
        <w:spacing w:line="360" w:lineRule="auto"/>
        <w:jc w:val="both"/>
        <w:rPr>
          <w:rFonts w:ascii="Arial" w:hAnsi="Arial" w:cs="Arial"/>
          <w:sz w:val="20"/>
          <w:szCs w:val="20"/>
          <w:lang w:eastAsia="pt-BR"/>
        </w:rPr>
      </w:pPr>
    </w:p>
    <w:p w14:paraId="091B7733">
      <w:pPr>
        <w:spacing w:line="360" w:lineRule="auto"/>
        <w:jc w:val="both"/>
        <w:rPr>
          <w:rFonts w:ascii="Arial" w:hAnsi="Arial" w:cs="Arial"/>
          <w:sz w:val="20"/>
          <w:szCs w:val="20"/>
          <w:lang w:eastAsia="pt-BR"/>
        </w:rPr>
      </w:pPr>
    </w:p>
    <w:p w14:paraId="1E0DAE1A">
      <w:pPr>
        <w:spacing w:line="360" w:lineRule="auto"/>
        <w:jc w:val="both"/>
        <w:rPr>
          <w:rFonts w:ascii="Arial" w:hAnsi="Arial" w:cs="Arial"/>
          <w:sz w:val="20"/>
          <w:szCs w:val="20"/>
          <w:lang w:eastAsia="pt-BR"/>
        </w:rPr>
      </w:pPr>
    </w:p>
    <w:p w14:paraId="00AFB0D1">
      <w:pPr>
        <w:spacing w:line="360" w:lineRule="auto"/>
        <w:jc w:val="both"/>
        <w:rPr>
          <w:rFonts w:ascii="Arial" w:hAnsi="Arial" w:cs="Arial"/>
          <w:sz w:val="20"/>
          <w:szCs w:val="20"/>
          <w:lang w:eastAsia="pt-BR"/>
        </w:rPr>
      </w:pPr>
    </w:p>
    <w:p w14:paraId="19781CE4">
      <w:pPr>
        <w:spacing w:line="360" w:lineRule="auto"/>
        <w:jc w:val="both"/>
        <w:rPr>
          <w:rFonts w:ascii="Arial" w:hAnsi="Arial" w:cs="Arial"/>
          <w:sz w:val="20"/>
          <w:szCs w:val="20"/>
          <w:lang w:eastAsia="pt-BR"/>
        </w:rPr>
      </w:pPr>
    </w:p>
    <w:p w14:paraId="0E73461B">
      <w:pPr>
        <w:spacing w:line="360" w:lineRule="auto"/>
        <w:jc w:val="both"/>
        <w:rPr>
          <w:rFonts w:ascii="Arial" w:hAnsi="Arial" w:cs="Arial"/>
          <w:sz w:val="20"/>
          <w:szCs w:val="20"/>
          <w:lang w:eastAsia="pt-BR"/>
        </w:rPr>
      </w:pPr>
    </w:p>
    <w:p w14:paraId="07ACEA2E">
      <w:pPr>
        <w:spacing w:line="360" w:lineRule="auto"/>
        <w:jc w:val="both"/>
        <w:rPr>
          <w:rFonts w:ascii="Arial" w:hAnsi="Arial" w:cs="Arial"/>
          <w:sz w:val="20"/>
          <w:szCs w:val="20"/>
          <w:lang w:eastAsia="pt-BR"/>
        </w:rPr>
      </w:pPr>
    </w:p>
    <w:p w14:paraId="70061699">
      <w:pPr>
        <w:spacing w:line="360" w:lineRule="auto"/>
        <w:jc w:val="both"/>
        <w:rPr>
          <w:rFonts w:ascii="Arial" w:hAnsi="Arial" w:cs="Arial"/>
          <w:sz w:val="20"/>
          <w:szCs w:val="20"/>
          <w:lang w:eastAsia="pt-BR"/>
        </w:rPr>
      </w:pPr>
    </w:p>
    <w:p w14:paraId="4DF0AC70">
      <w:pPr>
        <w:spacing w:line="360" w:lineRule="auto"/>
        <w:jc w:val="both"/>
        <w:rPr>
          <w:rFonts w:ascii="Arial" w:hAnsi="Arial" w:cs="Arial"/>
          <w:sz w:val="20"/>
          <w:szCs w:val="20"/>
          <w:lang w:eastAsia="pt-BR"/>
        </w:rPr>
      </w:pPr>
    </w:p>
    <w:p w14:paraId="3071D284">
      <w:pPr>
        <w:pStyle w:val="2"/>
        <w:spacing w:before="165"/>
        <w:ind w:left="0" w:right="1330"/>
        <w:jc w:val="center"/>
        <w:rPr>
          <w:w w:val="110"/>
          <w:sz w:val="22"/>
          <w:szCs w:val="22"/>
        </w:rPr>
      </w:pPr>
    </w:p>
    <w:p w14:paraId="58D8B4D1">
      <w:pPr>
        <w:pStyle w:val="2"/>
        <w:spacing w:before="165"/>
        <w:ind w:left="0" w:right="1330"/>
        <w:jc w:val="both"/>
        <w:rPr>
          <w:w w:val="110"/>
          <w:sz w:val="22"/>
          <w:szCs w:val="22"/>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10"/>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10"/>
        <w:spacing w:before="43"/>
        <w:ind w:left="0"/>
        <w:jc w:val="left"/>
        <w:rPr>
          <w:rFonts w:ascii="Times New Roman" w:hAnsi="Times New Roman" w:cs="Times New Roman"/>
          <w:b/>
          <w:sz w:val="22"/>
          <w:szCs w:val="22"/>
        </w:rPr>
      </w:pPr>
    </w:p>
    <w:p w14:paraId="5DD31CF8">
      <w:pPr>
        <w:pStyle w:val="2"/>
        <w:numPr>
          <w:ilvl w:val="0"/>
          <w:numId w:val="13"/>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7"/>
        <w:numPr>
          <w:ilvl w:val="1"/>
          <w:numId w:val="13"/>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7"/>
        <w:numPr>
          <w:ilvl w:val="1"/>
          <w:numId w:val="13"/>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7"/>
        <w:numPr>
          <w:ilvl w:val="1"/>
          <w:numId w:val="13"/>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7"/>
        <w:numPr>
          <w:ilvl w:val="1"/>
          <w:numId w:val="13"/>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7"/>
        <w:numPr>
          <w:ilvl w:val="1"/>
          <w:numId w:val="13"/>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7"/>
        <w:numPr>
          <w:ilvl w:val="1"/>
          <w:numId w:val="13"/>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7"/>
        <w:numPr>
          <w:ilvl w:val="1"/>
          <w:numId w:val="13"/>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3"/>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7"/>
        <w:numPr>
          <w:ilvl w:val="1"/>
          <w:numId w:val="13"/>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7"/>
        <w:numPr>
          <w:ilvl w:val="1"/>
          <w:numId w:val="13"/>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7"/>
        <w:numPr>
          <w:ilvl w:val="1"/>
          <w:numId w:val="13"/>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7"/>
        <w:numPr>
          <w:ilvl w:val="1"/>
          <w:numId w:val="13"/>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7"/>
        <w:numPr>
          <w:ilvl w:val="1"/>
          <w:numId w:val="13"/>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10"/>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7"/>
        <w:numPr>
          <w:ilvl w:val="1"/>
          <w:numId w:val="13"/>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3"/>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7"/>
        <w:numPr>
          <w:ilvl w:val="1"/>
          <w:numId w:val="13"/>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10"/>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7"/>
        <w:numPr>
          <w:ilvl w:val="1"/>
          <w:numId w:val="13"/>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7"/>
        <w:numPr>
          <w:ilvl w:val="1"/>
          <w:numId w:val="13"/>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7"/>
        <w:numPr>
          <w:ilvl w:val="1"/>
          <w:numId w:val="13"/>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4"/>
        </w:numPr>
        <w:tabs>
          <w:tab w:val="left" w:pos="524"/>
        </w:tabs>
        <w:spacing w:before="47"/>
        <w:ind w:left="239" w:leftChars="0" w:hanging="239" w:firstLineChars="0"/>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10"/>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9D6E1FC">
      <w:pPr>
        <w:spacing w:before="163"/>
        <w:ind w:left="1289" w:right="2062"/>
        <w:jc w:val="center"/>
        <w:rPr>
          <w:rFonts w:ascii="Times New Roman" w:hAnsi="Times New Roman" w:cs="Times New Roman"/>
          <w:b/>
          <w:spacing w:val="11"/>
          <w:w w:val="115"/>
        </w:rPr>
      </w:pPr>
    </w:p>
    <w:p w14:paraId="63A84AB9">
      <w:pPr>
        <w:spacing w:before="163"/>
        <w:ind w:left="1289" w:right="2062"/>
        <w:jc w:val="center"/>
        <w:rPr>
          <w:rFonts w:ascii="Times New Roman" w:hAnsi="Times New Roman" w:cs="Times New Roman"/>
          <w:b/>
          <w:spacing w:val="11"/>
          <w:w w:val="115"/>
        </w:rPr>
      </w:pPr>
    </w:p>
    <w:p w14:paraId="4A4794AA">
      <w:pPr>
        <w:spacing w:before="163"/>
        <w:ind w:left="1289" w:right="2062"/>
        <w:jc w:val="center"/>
        <w:rPr>
          <w:rFonts w:ascii="Times New Roman" w:hAnsi="Times New Roman" w:cs="Times New Roman"/>
          <w:b/>
          <w:spacing w:val="11"/>
          <w:w w:val="115"/>
        </w:rPr>
      </w:pPr>
    </w:p>
    <w:p w14:paraId="371F2875">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1619FB8">
      <w:pPr>
        <w:spacing w:before="163"/>
        <w:ind w:left="1289" w:right="2062"/>
        <w:jc w:val="center"/>
        <w:rPr>
          <w:rFonts w:ascii="Times New Roman" w:hAnsi="Times New Roman" w:cs="Times New Roman"/>
          <w:b/>
          <w:spacing w:val="11"/>
          <w:w w:val="115"/>
        </w:rPr>
      </w:pPr>
    </w:p>
    <w:p w14:paraId="29393C1F">
      <w:pPr>
        <w:spacing w:before="163"/>
        <w:ind w:left="1289" w:right="2062"/>
        <w:jc w:val="center"/>
        <w:rPr>
          <w:rFonts w:ascii="Times New Roman" w:hAnsi="Times New Roman" w:cs="Times New Roman"/>
          <w:b/>
          <w:spacing w:val="11"/>
          <w:w w:val="115"/>
        </w:rPr>
      </w:pPr>
    </w:p>
    <w:p w14:paraId="13C448C8">
      <w:pPr>
        <w:spacing w:before="163"/>
        <w:ind w:left="1289" w:right="2062"/>
        <w:jc w:val="center"/>
        <w:rPr>
          <w:rFonts w:ascii="Times New Roman" w:hAnsi="Times New Roman" w:cs="Times New Roman"/>
          <w:b/>
          <w:spacing w:val="11"/>
          <w:w w:val="115"/>
        </w:rPr>
      </w:pPr>
    </w:p>
    <w:p w14:paraId="6C28DA20">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10"/>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10"/>
        <w:ind w:left="0"/>
        <w:jc w:val="left"/>
        <w:rPr>
          <w:rFonts w:ascii="Times New Roman" w:hAnsi="Times New Roman" w:cs="Times New Roman"/>
          <w:b/>
          <w:sz w:val="22"/>
          <w:szCs w:val="22"/>
        </w:rPr>
      </w:pPr>
    </w:p>
    <w:p w14:paraId="7C4D5E1D">
      <w:pPr>
        <w:pStyle w:val="10"/>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10"/>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10"/>
        <w:spacing w:before="33"/>
        <w:ind w:left="0"/>
        <w:jc w:val="left"/>
        <w:rPr>
          <w:rFonts w:ascii="Times New Roman" w:hAnsi="Times New Roman" w:cs="Times New Roman"/>
          <w:sz w:val="22"/>
          <w:szCs w:val="22"/>
        </w:rPr>
      </w:pPr>
    </w:p>
    <w:p w14:paraId="2A311E95">
      <w:pPr>
        <w:pStyle w:val="10"/>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10"/>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10"/>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10"/>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10"/>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10"/>
        <w:spacing w:before="3"/>
        <w:ind w:left="0"/>
        <w:jc w:val="left"/>
        <w:rPr>
          <w:rFonts w:ascii="Times New Roman" w:hAnsi="Times New Roman" w:cs="Times New Roman"/>
          <w:sz w:val="22"/>
          <w:szCs w:val="22"/>
        </w:rPr>
      </w:pPr>
    </w:p>
    <w:p w14:paraId="6E58E478">
      <w:pPr>
        <w:pStyle w:val="10"/>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10"/>
        <w:ind w:left="0"/>
        <w:jc w:val="left"/>
        <w:rPr>
          <w:rFonts w:ascii="Times New Roman" w:hAnsi="Times New Roman" w:cs="Times New Roman"/>
          <w:sz w:val="22"/>
          <w:szCs w:val="22"/>
        </w:rPr>
      </w:pPr>
    </w:p>
    <w:p w14:paraId="6BF93772">
      <w:pPr>
        <w:pStyle w:val="10"/>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10"/>
        <w:ind w:left="0"/>
        <w:jc w:val="left"/>
        <w:rPr>
          <w:rFonts w:ascii="Times New Roman" w:hAnsi="Times New Roman" w:cs="Times New Roman"/>
          <w:sz w:val="22"/>
          <w:szCs w:val="22"/>
        </w:rPr>
      </w:pPr>
    </w:p>
    <w:p w14:paraId="35192187">
      <w:pPr>
        <w:pStyle w:val="10"/>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10"/>
        <w:ind w:left="0"/>
        <w:jc w:val="left"/>
        <w:rPr>
          <w:rFonts w:ascii="Times New Roman" w:hAnsi="Times New Roman" w:cs="Times New Roman"/>
          <w:sz w:val="22"/>
          <w:szCs w:val="22"/>
        </w:rPr>
      </w:pPr>
    </w:p>
    <w:p w14:paraId="3D0EF397">
      <w:pPr>
        <w:pStyle w:val="10"/>
        <w:spacing w:before="2"/>
        <w:ind w:left="0"/>
        <w:jc w:val="left"/>
        <w:rPr>
          <w:rFonts w:ascii="Times New Roman" w:hAnsi="Times New Roman" w:cs="Times New Roman"/>
          <w:sz w:val="22"/>
          <w:szCs w:val="22"/>
        </w:rPr>
      </w:pPr>
    </w:p>
    <w:p w14:paraId="01A3CF8F">
      <w:pPr>
        <w:pStyle w:val="10"/>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10"/>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10"/>
        <w:ind w:left="0"/>
        <w:jc w:val="left"/>
        <w:rPr>
          <w:rFonts w:ascii="Times New Roman" w:hAnsi="Times New Roman" w:cs="Times New Roman"/>
          <w:sz w:val="22"/>
          <w:szCs w:val="22"/>
        </w:rPr>
      </w:pPr>
    </w:p>
    <w:p w14:paraId="2D8F1516">
      <w:pPr>
        <w:pStyle w:val="10"/>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10"/>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10"/>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10"/>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10"/>
        <w:ind w:left="0"/>
        <w:jc w:val="left"/>
        <w:rPr>
          <w:rFonts w:ascii="Times New Roman" w:hAnsi="Times New Roman" w:cs="Times New Roman"/>
          <w:sz w:val="22"/>
          <w:szCs w:val="22"/>
        </w:rPr>
      </w:pPr>
    </w:p>
    <w:p w14:paraId="5C299C7D">
      <w:pPr>
        <w:pStyle w:val="10"/>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10"/>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10"/>
        <w:ind w:left="0"/>
        <w:jc w:val="left"/>
        <w:rPr>
          <w:rFonts w:ascii="Times New Roman" w:hAnsi="Times New Roman" w:cs="Times New Roman"/>
          <w:b/>
          <w:sz w:val="22"/>
          <w:szCs w:val="22"/>
        </w:rPr>
      </w:pPr>
    </w:p>
    <w:p w14:paraId="0C9BEE7F">
      <w:pPr>
        <w:pStyle w:val="10"/>
        <w:ind w:left="0"/>
        <w:jc w:val="left"/>
        <w:rPr>
          <w:rFonts w:ascii="Times New Roman" w:hAnsi="Times New Roman" w:cs="Times New Roman"/>
          <w:b/>
          <w:sz w:val="22"/>
          <w:szCs w:val="22"/>
        </w:rPr>
      </w:pPr>
    </w:p>
    <w:p w14:paraId="55194026">
      <w:pPr>
        <w:pStyle w:val="10"/>
        <w:ind w:left="0"/>
        <w:jc w:val="left"/>
        <w:rPr>
          <w:rFonts w:ascii="Times New Roman" w:hAnsi="Times New Roman" w:cs="Times New Roman"/>
          <w:b/>
          <w:sz w:val="22"/>
          <w:szCs w:val="22"/>
        </w:rPr>
      </w:pPr>
    </w:p>
    <w:p w14:paraId="44BECC9E">
      <w:pPr>
        <w:pStyle w:val="10"/>
        <w:ind w:left="0"/>
        <w:jc w:val="left"/>
        <w:rPr>
          <w:rFonts w:ascii="Times New Roman" w:hAnsi="Times New Roman" w:cs="Times New Roman"/>
          <w:b/>
          <w:sz w:val="22"/>
          <w:szCs w:val="22"/>
        </w:rPr>
      </w:pPr>
    </w:p>
    <w:p w14:paraId="66BCA8EE">
      <w:pPr>
        <w:pStyle w:val="10"/>
        <w:ind w:left="0"/>
        <w:jc w:val="left"/>
        <w:rPr>
          <w:rFonts w:ascii="Times New Roman" w:hAnsi="Times New Roman" w:cs="Times New Roman"/>
          <w:b/>
          <w:sz w:val="22"/>
          <w:szCs w:val="22"/>
        </w:rPr>
      </w:pPr>
    </w:p>
    <w:p w14:paraId="6EA9A300">
      <w:pPr>
        <w:pStyle w:val="10"/>
        <w:spacing w:before="1"/>
        <w:ind w:left="0"/>
        <w:jc w:val="left"/>
        <w:rPr>
          <w:rFonts w:ascii="Times New Roman" w:hAnsi="Times New Roman" w:cs="Times New Roman"/>
          <w:b/>
          <w:sz w:val="22"/>
          <w:szCs w:val="22"/>
        </w:rPr>
      </w:pPr>
    </w:p>
    <w:p w14:paraId="7CDF3075">
      <w:pPr>
        <w:pStyle w:val="10"/>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10"/>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10"/>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10"/>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10"/>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10"/>
        <w:ind w:left="0"/>
        <w:jc w:val="left"/>
        <w:rPr>
          <w:rFonts w:ascii="Times New Roman" w:hAnsi="Times New Roman" w:cs="Times New Roman"/>
          <w:sz w:val="22"/>
          <w:szCs w:val="22"/>
        </w:rPr>
      </w:pPr>
    </w:p>
    <w:p w14:paraId="623938B2">
      <w:pPr>
        <w:pStyle w:val="10"/>
        <w:ind w:left="0"/>
        <w:jc w:val="left"/>
        <w:rPr>
          <w:rFonts w:ascii="Times New Roman" w:hAnsi="Times New Roman" w:cs="Times New Roman"/>
          <w:sz w:val="22"/>
          <w:szCs w:val="22"/>
        </w:rPr>
      </w:pPr>
    </w:p>
    <w:p w14:paraId="4840F8A7">
      <w:pPr>
        <w:pStyle w:val="10"/>
        <w:ind w:left="0"/>
        <w:jc w:val="left"/>
        <w:rPr>
          <w:rFonts w:ascii="Times New Roman" w:hAnsi="Times New Roman" w:cs="Times New Roman"/>
          <w:sz w:val="22"/>
          <w:szCs w:val="22"/>
        </w:rPr>
      </w:pPr>
    </w:p>
    <w:p w14:paraId="7F8FFF66">
      <w:pPr>
        <w:pStyle w:val="10"/>
        <w:ind w:left="0"/>
        <w:jc w:val="left"/>
        <w:rPr>
          <w:rFonts w:ascii="Times New Roman" w:hAnsi="Times New Roman" w:cs="Times New Roman"/>
          <w:sz w:val="22"/>
          <w:szCs w:val="22"/>
        </w:rPr>
      </w:pPr>
    </w:p>
    <w:p w14:paraId="5245D900">
      <w:pPr>
        <w:pStyle w:val="10"/>
        <w:ind w:left="0"/>
        <w:jc w:val="left"/>
        <w:rPr>
          <w:rFonts w:ascii="Times New Roman" w:hAnsi="Times New Roman" w:cs="Times New Roman"/>
          <w:sz w:val="22"/>
          <w:szCs w:val="22"/>
        </w:rPr>
      </w:pPr>
    </w:p>
    <w:p w14:paraId="5CA2B309">
      <w:pPr>
        <w:pStyle w:val="10"/>
        <w:ind w:left="0"/>
        <w:jc w:val="left"/>
        <w:rPr>
          <w:rFonts w:ascii="Times New Roman" w:hAnsi="Times New Roman" w:cs="Times New Roman"/>
          <w:sz w:val="22"/>
          <w:szCs w:val="22"/>
        </w:rPr>
      </w:pPr>
    </w:p>
    <w:p w14:paraId="68BB3888">
      <w:pPr>
        <w:pStyle w:val="10"/>
        <w:ind w:left="0"/>
        <w:jc w:val="left"/>
        <w:rPr>
          <w:rFonts w:ascii="Times New Roman" w:hAnsi="Times New Roman" w:cs="Times New Roman"/>
          <w:sz w:val="22"/>
          <w:szCs w:val="22"/>
        </w:rPr>
      </w:pPr>
    </w:p>
    <w:p w14:paraId="7174B88F">
      <w:pPr>
        <w:pStyle w:val="10"/>
        <w:ind w:left="0"/>
        <w:jc w:val="left"/>
        <w:rPr>
          <w:rFonts w:ascii="Times New Roman" w:hAnsi="Times New Roman" w:cs="Times New Roman"/>
          <w:sz w:val="22"/>
          <w:szCs w:val="22"/>
        </w:rPr>
      </w:pPr>
    </w:p>
    <w:p w14:paraId="25D92928">
      <w:pPr>
        <w:pStyle w:val="10"/>
        <w:ind w:left="0"/>
        <w:jc w:val="left"/>
        <w:rPr>
          <w:rFonts w:ascii="Times New Roman" w:hAnsi="Times New Roman" w:cs="Times New Roman"/>
          <w:sz w:val="22"/>
          <w:szCs w:val="22"/>
        </w:rPr>
      </w:pPr>
    </w:p>
    <w:p w14:paraId="170CA9E4">
      <w:pPr>
        <w:pStyle w:val="10"/>
        <w:ind w:left="0"/>
        <w:jc w:val="left"/>
        <w:rPr>
          <w:rFonts w:ascii="Times New Roman" w:hAnsi="Times New Roman" w:cs="Times New Roman"/>
          <w:sz w:val="22"/>
          <w:szCs w:val="22"/>
        </w:rPr>
      </w:pPr>
    </w:p>
    <w:p w14:paraId="5BDE58CF">
      <w:pPr>
        <w:pStyle w:val="10"/>
        <w:ind w:left="0"/>
        <w:jc w:val="left"/>
        <w:rPr>
          <w:rFonts w:ascii="Times New Roman" w:hAnsi="Times New Roman" w:cs="Times New Roman"/>
          <w:sz w:val="22"/>
          <w:szCs w:val="22"/>
        </w:rPr>
      </w:pPr>
    </w:p>
    <w:p w14:paraId="7C01D3E3">
      <w:pPr>
        <w:pStyle w:val="10"/>
        <w:ind w:left="0"/>
        <w:jc w:val="left"/>
        <w:rPr>
          <w:rFonts w:ascii="Times New Roman" w:hAnsi="Times New Roman" w:cs="Times New Roman"/>
          <w:sz w:val="22"/>
          <w:szCs w:val="22"/>
        </w:rPr>
      </w:pPr>
    </w:p>
    <w:p w14:paraId="6D2AB1BC">
      <w:pPr>
        <w:pStyle w:val="10"/>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10"/>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10"/>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10"/>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1249D256">
      <w:pPr>
        <w:shd w:val="clear" w:color="auto" w:fill="FFFFFF"/>
        <w:spacing w:line="360" w:lineRule="auto"/>
        <w:jc w:val="center"/>
        <w:rPr>
          <w:rFonts w:ascii="Arial" w:hAnsi="Arial" w:cs="Arial"/>
          <w:b/>
          <w:bCs/>
          <w:sz w:val="24"/>
          <w:szCs w:val="24"/>
        </w:rPr>
      </w:pPr>
      <w:bookmarkStart w:id="2" w:name="_Hlk157406106"/>
      <w:r>
        <w:rPr>
          <w:rFonts w:ascii="Arial" w:hAnsi="Arial" w:cs="Arial"/>
          <w:b/>
          <w:bCs/>
          <w:sz w:val="24"/>
          <w:szCs w:val="24"/>
        </w:rPr>
        <w:t xml:space="preserve">CONJUNTO COLETIVO CJC MESA COM 4 CADEIRAS, CONJUNTO </w:t>
      </w:r>
      <w:r>
        <w:rPr>
          <w:rFonts w:ascii="Arial" w:hAnsi="Arial" w:cs="Arial"/>
          <w:b/>
          <w:bCs/>
          <w:sz w:val="24"/>
          <w:szCs w:val="24"/>
          <w:lang w:eastAsia="pt-BR"/>
        </w:rPr>
        <w:t xml:space="preserve">FNDE REFEITÓRIO M4C-03 </w:t>
      </w:r>
      <w:r>
        <w:rPr>
          <w:rFonts w:ascii="Arial" w:hAnsi="Arial" w:cs="Arial"/>
          <w:b/>
          <w:bCs/>
          <w:sz w:val="24"/>
          <w:szCs w:val="24"/>
        </w:rPr>
        <w:t xml:space="preserve"> E ESCREVANINHA DE MADEIRA INDUSTRIAL</w:t>
      </w:r>
    </w:p>
    <w:p w14:paraId="4FAA8300">
      <w:pPr>
        <w:rPr>
          <w:rFonts w:ascii="Arial" w:hAnsi="Arial" w:cs="Arial"/>
          <w:b/>
          <w:bCs/>
          <w:sz w:val="24"/>
          <w:szCs w:val="24"/>
        </w:rPr>
      </w:pPr>
    </w:p>
    <w:p w14:paraId="77E86986">
      <w:pPr>
        <w:spacing w:line="360" w:lineRule="auto"/>
        <w:jc w:val="center"/>
        <w:rPr>
          <w:rFonts w:ascii="Arial" w:hAnsi="Arial" w:cs="Arial"/>
          <w:b/>
          <w:bCs/>
          <w:sz w:val="24"/>
          <w:szCs w:val="24"/>
        </w:rPr>
      </w:pPr>
      <w:r>
        <w:rPr>
          <w:rFonts w:ascii="Arial" w:hAnsi="Arial" w:cs="Arial"/>
          <w:b/>
          <w:bCs/>
          <w:sz w:val="24"/>
          <w:szCs w:val="24"/>
        </w:rPr>
        <w:t>TERMO DE REFERÊNCIA (TR)</w:t>
      </w:r>
    </w:p>
    <w:p w14:paraId="792ED506">
      <w:pPr>
        <w:jc w:val="both"/>
        <w:rPr>
          <w:rFonts w:ascii="Arial" w:hAnsi="Arial" w:eastAsia="Calibri" w:cs="Arial"/>
          <w:b/>
          <w:bCs/>
          <w:sz w:val="24"/>
          <w:szCs w:val="24"/>
        </w:rPr>
      </w:pPr>
    </w:p>
    <w:p w14:paraId="53758E8D">
      <w:pPr>
        <w:jc w:val="both"/>
        <w:rPr>
          <w:rFonts w:ascii="Arial" w:hAnsi="Arial" w:eastAsia="Calibri" w:cs="Arial"/>
          <w:b/>
          <w:bCs/>
          <w:sz w:val="24"/>
          <w:szCs w:val="24"/>
        </w:rPr>
      </w:pPr>
    </w:p>
    <w:p w14:paraId="4893C5BD">
      <w:pPr>
        <w:spacing w:line="360" w:lineRule="auto"/>
        <w:jc w:val="both"/>
        <w:rPr>
          <w:rFonts w:ascii="Arial" w:hAnsi="Arial" w:eastAsia="Calibri" w:cs="Arial"/>
          <w:b/>
          <w:bCs/>
          <w:sz w:val="24"/>
          <w:szCs w:val="24"/>
        </w:rPr>
      </w:pPr>
      <w:r>
        <w:rPr>
          <w:rFonts w:ascii="Arial" w:hAnsi="Arial" w:eastAsia="Calibri" w:cs="Arial"/>
          <w:b/>
          <w:bCs/>
          <w:sz w:val="24"/>
          <w:szCs w:val="24"/>
        </w:rPr>
        <w:t xml:space="preserve">UNIDADE REQUISITANTE: </w:t>
      </w:r>
      <w:r>
        <w:rPr>
          <w:rFonts w:ascii="Arial" w:hAnsi="Arial" w:eastAsia="Calibri" w:cs="Arial"/>
          <w:sz w:val="24"/>
          <w:szCs w:val="24"/>
        </w:rPr>
        <w:t>Secretaria de Educação</w:t>
      </w:r>
    </w:p>
    <w:p w14:paraId="6815BF12">
      <w:pPr>
        <w:spacing w:line="360" w:lineRule="auto"/>
        <w:jc w:val="both"/>
        <w:rPr>
          <w:rFonts w:ascii="Arial" w:hAnsi="Arial" w:eastAsia="Calibri" w:cs="Arial"/>
          <w:sz w:val="24"/>
          <w:szCs w:val="24"/>
        </w:rPr>
      </w:pPr>
      <w:r>
        <w:rPr>
          <w:rFonts w:ascii="Arial" w:hAnsi="Arial" w:eastAsia="Calibri" w:cs="Arial"/>
          <w:b/>
          <w:bCs/>
          <w:sz w:val="24"/>
          <w:szCs w:val="24"/>
        </w:rPr>
        <w:t xml:space="preserve">AGENTE RESPONSÁVEL: </w:t>
      </w:r>
      <w:r>
        <w:rPr>
          <w:rFonts w:ascii="Arial" w:hAnsi="Arial" w:eastAsia="Calibri" w:cs="Arial"/>
          <w:sz w:val="24"/>
          <w:szCs w:val="24"/>
        </w:rPr>
        <w:t>Lilian Mateus Floriano Comodaro</w:t>
      </w:r>
    </w:p>
    <w:p w14:paraId="198A9F78">
      <w:pPr>
        <w:spacing w:line="360" w:lineRule="auto"/>
        <w:jc w:val="both"/>
        <w:rPr>
          <w:rFonts w:ascii="Arial" w:hAnsi="Arial" w:eastAsia="Arial-BoldMT" w:cs="Arial"/>
          <w:b/>
          <w:bCs/>
          <w:sz w:val="24"/>
          <w:szCs w:val="24"/>
        </w:rPr>
      </w:pPr>
    </w:p>
    <w:p w14:paraId="29320214">
      <w:pPr>
        <w:spacing w:line="360" w:lineRule="auto"/>
        <w:jc w:val="both"/>
        <w:rPr>
          <w:rFonts w:ascii="Arial" w:hAnsi="Arial" w:eastAsia="Arial-BoldMT" w:cs="Arial"/>
          <w:b/>
          <w:bCs/>
          <w:sz w:val="24"/>
          <w:szCs w:val="24"/>
          <w:highlight w:val="yellow"/>
        </w:rPr>
      </w:pPr>
      <w:r>
        <w:rPr>
          <w:rFonts w:ascii="Arial" w:hAnsi="Arial" w:eastAsia="Arial-BoldMT" w:cs="Arial"/>
          <w:b/>
          <w:bCs/>
          <w:sz w:val="24"/>
          <w:szCs w:val="24"/>
        </w:rPr>
        <w:t>1 - Definição do objeto, incluídos sua natureza, os quantitativos, o prazo do contrato e, se for o caso, a possibilidade de sua prorrogação;</w:t>
      </w:r>
    </w:p>
    <w:p w14:paraId="7F15EAED">
      <w:pPr>
        <w:spacing w:before="100" w:beforeAutospacing="1" w:after="100" w:afterAutospacing="1" w:line="360" w:lineRule="auto"/>
        <w:jc w:val="both"/>
        <w:rPr>
          <w:rFonts w:ascii="Arial" w:hAnsi="Arial" w:cs="Arial"/>
          <w:sz w:val="24"/>
          <w:szCs w:val="24"/>
          <w:lang w:eastAsia="pt-BR"/>
        </w:rPr>
      </w:pPr>
      <w:r>
        <w:rPr>
          <w:rFonts w:ascii="Arial" w:hAnsi="Arial" w:cs="Arial"/>
          <w:sz w:val="24"/>
          <w:szCs w:val="24"/>
          <w:lang w:eastAsia="pt-BR"/>
        </w:rPr>
        <w:t xml:space="preserve">O objeto do presente Termo de Referência é a abertura de licitação, na modalidade “Dispensa Eletrônica”, para a aquisição de </w:t>
      </w:r>
      <w:r>
        <w:rPr>
          <w:rFonts w:ascii="Arial" w:hAnsi="Arial" w:cs="Arial"/>
          <w:b/>
          <w:bCs/>
          <w:sz w:val="24"/>
          <w:szCs w:val="24"/>
          <w:lang w:eastAsia="pt-BR"/>
        </w:rPr>
        <w:t>conjuntos coletivos CJC – compostos por mesa com 4 cadeiras</w:t>
      </w:r>
      <w:r>
        <w:rPr>
          <w:rFonts w:ascii="Arial" w:hAnsi="Arial" w:cs="Arial"/>
          <w:sz w:val="24"/>
          <w:szCs w:val="24"/>
          <w:lang w:eastAsia="pt-BR"/>
        </w:rPr>
        <w:t>,</w:t>
      </w:r>
      <w:r>
        <w:rPr>
          <w:rFonts w:ascii="Arial" w:hAnsi="Arial" w:cs="Arial"/>
          <w:b/>
          <w:bCs/>
          <w:sz w:val="24"/>
          <w:szCs w:val="24"/>
          <w:lang w:eastAsia="pt-BR"/>
        </w:rPr>
        <w:t xml:space="preserve"> Conjunto FNDE Refeitório M4C-03</w:t>
      </w:r>
      <w:r>
        <w:rPr>
          <w:rFonts w:ascii="Arial" w:hAnsi="Arial" w:cs="Arial"/>
          <w:sz w:val="24"/>
          <w:szCs w:val="24"/>
          <w:lang w:eastAsia="pt-BR"/>
        </w:rPr>
        <w:t xml:space="preserve"> e </w:t>
      </w:r>
      <w:r>
        <w:rPr>
          <w:rFonts w:ascii="Arial" w:hAnsi="Arial" w:cs="Arial"/>
          <w:b/>
          <w:bCs/>
          <w:sz w:val="24"/>
          <w:szCs w:val="24"/>
          <w:lang w:eastAsia="pt-BR"/>
        </w:rPr>
        <w:t>escrivaninhas para estudos em madeira industrial</w:t>
      </w:r>
      <w:r>
        <w:rPr>
          <w:rFonts w:ascii="Arial" w:hAnsi="Arial" w:cs="Arial"/>
          <w:sz w:val="24"/>
          <w:szCs w:val="24"/>
          <w:lang w:eastAsia="pt-BR"/>
        </w:rPr>
        <w:t xml:space="preserve">, destinados à Creche Escola </w:t>
      </w:r>
      <w:r>
        <w:rPr>
          <w:rFonts w:ascii="Arial" w:hAnsi="Arial" w:cs="Arial" w:eastAsiaTheme="majorEastAsia"/>
          <w:sz w:val="24"/>
          <w:szCs w:val="24"/>
        </w:rPr>
        <w:t xml:space="preserve">Rosinéia Marcelino Lourenço </w:t>
      </w:r>
      <w:r>
        <w:rPr>
          <w:rFonts w:ascii="Arial" w:hAnsi="Arial" w:cs="Arial"/>
          <w:sz w:val="24"/>
          <w:szCs w:val="24"/>
          <w:lang w:eastAsia="pt-BR"/>
        </w:rPr>
        <w:t>e à EMEB João Etchebehere.</w:t>
      </w:r>
    </w:p>
    <w:p w14:paraId="2B5EED25">
      <w:pPr>
        <w:spacing w:before="100" w:beforeAutospacing="1" w:after="100" w:afterAutospacing="1" w:line="360" w:lineRule="auto"/>
        <w:jc w:val="both"/>
        <w:rPr>
          <w:rFonts w:ascii="Arial" w:hAnsi="Arial" w:cs="Arial"/>
          <w:sz w:val="24"/>
          <w:szCs w:val="24"/>
          <w:lang w:eastAsia="pt-BR"/>
        </w:rPr>
      </w:pPr>
      <w:r>
        <w:rPr>
          <w:rFonts w:ascii="Arial" w:hAnsi="Arial" w:cs="Arial"/>
          <w:sz w:val="24"/>
          <w:szCs w:val="24"/>
          <w:lang w:eastAsia="pt-BR"/>
        </w:rPr>
        <w:t>A aquisição da mesa CJC tem como objetivo aprimorar a infraestrutura das unidades educacionais, especialmente da creche escola, proporcionando um ambiente mais adequado e acolhedor para os atendimentos realizados pela equipe multiprofissional, como a fonoaudióloga e o psicólogo. Esse mobiliário coletivo favorece a interação, a escuta ativa e o conforto durante as sessões, garantindo um ambiente reservado que favoreça a concentração, o vínculo e a autonomia dos alunos durante o acompanhamento especializado, contribuindo para a criação de um espaço propício ao acolhimento e ao desenvolvimento das crianças. Além disso, a inclusão da mesa do refeitório também visa atender às necessidades dos atendimentos multiprofissionais, oferecendo um espaço funcional que pode ser utilizado tanto para momentos de socialização quanto para atividades terapêuticas em grupo, conduzidas pela fonoaudióloga e pelo psicólogo. Essa mesa proporciona conforto, acessibilidade e contribui para a promoção de um ambiente mais humanizado e receptivo. Já a escrivaninha, destinada ao uso do profissional, é fundamental para a organização e realização das atividades de planejamento, registros e atendimentos individuais. Ela contribui para a criação de um ambiente funcional e reservado, que favorece a concentração, a confidencialidade e a qualidade do trabalho desenvolvido pelos profissionais da equipe multiprofissional, como o psicólogo e a fonoaudióloga.</w:t>
      </w:r>
    </w:p>
    <w:p w14:paraId="564FFFA9">
      <w:pPr>
        <w:spacing w:before="100" w:beforeAutospacing="1" w:after="100" w:afterAutospacing="1" w:line="360" w:lineRule="auto"/>
        <w:jc w:val="both"/>
        <w:rPr>
          <w:rFonts w:ascii="Arial" w:hAnsi="Arial" w:cs="Arial"/>
          <w:sz w:val="24"/>
          <w:szCs w:val="24"/>
          <w:lang w:eastAsia="pt-BR"/>
        </w:rPr>
      </w:pPr>
      <w:r>
        <w:rPr>
          <w:rFonts w:ascii="Arial" w:hAnsi="Arial" w:cs="Arial"/>
          <w:sz w:val="24"/>
          <w:szCs w:val="24"/>
          <w:lang w:eastAsia="pt-BR"/>
        </w:rPr>
        <w:t>Tais mobiliários atendem às normas de segurança, ergonomia e qualidade, promovendo o bem-estar infantil, além de proporcionar dignidade e igualdade de condições entre os alunos, especialmente para aqueles em situação de vulnerabilidade social.</w:t>
      </w:r>
    </w:p>
    <w:p w14:paraId="560FD15B">
      <w:pPr>
        <w:spacing w:before="100" w:beforeAutospacing="1" w:after="100" w:afterAutospacing="1"/>
        <w:jc w:val="both"/>
        <w:rPr>
          <w:rFonts w:ascii="Arial" w:hAnsi="Arial" w:cs="Arial"/>
          <w:sz w:val="24"/>
          <w:szCs w:val="24"/>
          <w:lang w:eastAsia="pt-BR"/>
        </w:rPr>
      </w:pPr>
      <w:r>
        <w:rPr>
          <w:rFonts w:ascii="Arial" w:hAnsi="Arial" w:cs="Arial"/>
          <w:sz w:val="24"/>
          <w:szCs w:val="24"/>
          <w:lang w:eastAsia="pt-BR"/>
        </w:rPr>
        <w:t>A aquisição contribuirá também para o cumprimento de exigências sanitárias e educacionais, assegurando um ambiente adequado ao aprendizado e ao pleno desenvolvimento das crianças.</w:t>
      </w:r>
    </w:p>
    <w:p w14:paraId="2FC5AFFE">
      <w:pPr>
        <w:spacing w:before="100" w:beforeAutospacing="1" w:after="100" w:afterAutospacing="1"/>
        <w:jc w:val="both"/>
        <w:rPr>
          <w:rFonts w:ascii="Arial" w:hAnsi="Arial" w:cs="Arial"/>
          <w:b/>
          <w:bCs/>
          <w:sz w:val="24"/>
          <w:szCs w:val="24"/>
          <w:lang w:eastAsia="pt-BR"/>
        </w:rPr>
      </w:pPr>
      <w:r>
        <w:rPr>
          <w:rFonts w:ascii="Arial" w:hAnsi="Arial" w:cs="Arial"/>
          <w:sz w:val="24"/>
          <w:szCs w:val="24"/>
          <w:lang w:eastAsia="pt-BR"/>
        </w:rPr>
        <w:t xml:space="preserve">Serão adquiridos um total de </w:t>
      </w:r>
      <w:r>
        <w:rPr>
          <w:rFonts w:ascii="Arial" w:hAnsi="Arial" w:cs="Arial"/>
          <w:b/>
          <w:bCs/>
          <w:sz w:val="24"/>
          <w:szCs w:val="24"/>
          <w:lang w:eastAsia="pt-BR"/>
        </w:rPr>
        <w:t>13 conjuntos coletivos CJC 01, 2</w:t>
      </w:r>
      <w:r>
        <w:rPr>
          <w:rFonts w:ascii="Segoe UI" w:hAnsi="Segoe UI" w:cs="Segoe UI"/>
          <w:b/>
          <w:bCs/>
          <w:caps/>
          <w:color w:val="212529"/>
          <w:spacing w:val="15"/>
          <w:sz w:val="36"/>
          <w:szCs w:val="36"/>
          <w:lang w:eastAsia="pt-BR"/>
        </w:rPr>
        <w:t xml:space="preserve"> </w:t>
      </w:r>
      <w:r>
        <w:rPr>
          <w:rFonts w:ascii="Arial" w:hAnsi="Arial" w:cs="Arial"/>
          <w:b/>
          <w:bCs/>
          <w:sz w:val="24"/>
          <w:szCs w:val="24"/>
          <w:lang w:eastAsia="pt-BR"/>
        </w:rPr>
        <w:t>Conjuntos FNDE Refeitório M4C-03 e</w:t>
      </w:r>
      <w:r>
        <w:rPr>
          <w:rFonts w:ascii="Arial" w:hAnsi="Arial" w:cs="Arial"/>
          <w:sz w:val="24"/>
          <w:szCs w:val="24"/>
          <w:lang w:eastAsia="pt-BR"/>
        </w:rPr>
        <w:t xml:space="preserve"> </w:t>
      </w:r>
      <w:r>
        <w:rPr>
          <w:rFonts w:ascii="Arial" w:hAnsi="Arial" w:cs="Arial"/>
          <w:b/>
          <w:bCs/>
          <w:sz w:val="24"/>
          <w:szCs w:val="24"/>
          <w:lang w:eastAsia="pt-BR"/>
        </w:rPr>
        <w:t>2 escrivaninhas para estudos em madeira industrial</w:t>
      </w:r>
      <w:r>
        <w:rPr>
          <w:rFonts w:ascii="Arial" w:hAnsi="Arial" w:cs="Arial"/>
          <w:sz w:val="24"/>
          <w:szCs w:val="24"/>
          <w:lang w:eastAsia="pt-BR"/>
        </w:rPr>
        <w:t>, a serem distribuídos conforme a demanda da Creche Escola Rosinéia Marcelino Lourenço e da EMEB João Etchebehere.</w:t>
      </w:r>
    </w:p>
    <w:p w14:paraId="4707A290">
      <w:pPr>
        <w:spacing w:before="100" w:beforeAutospacing="1" w:after="100" w:afterAutospacing="1"/>
        <w:jc w:val="both"/>
        <w:rPr>
          <w:rFonts w:ascii="Arial" w:hAnsi="Arial" w:cs="Arial"/>
          <w:sz w:val="24"/>
          <w:szCs w:val="24"/>
          <w:lang w:eastAsia="pt-BR"/>
        </w:rPr>
      </w:pPr>
    </w:p>
    <w:p w14:paraId="4D686B2B">
      <w:pPr>
        <w:spacing w:line="360" w:lineRule="auto"/>
        <w:jc w:val="both"/>
        <w:rPr>
          <w:rFonts w:ascii="Arial" w:hAnsi="Arial" w:cs="Arial" w:eastAsiaTheme="majorEastAsia"/>
          <w:bCs/>
          <w:kern w:val="2"/>
          <w:sz w:val="24"/>
          <w:szCs w:val="24"/>
          <w:lang w:eastAsia="en-US"/>
          <w14:ligatures w14:val="standardContextual"/>
        </w:rPr>
      </w:pPr>
      <w:r>
        <w:rPr>
          <w:rFonts w:ascii="Arial" w:hAnsi="Arial" w:cs="Arial" w:eastAsiaTheme="majorEastAsia"/>
          <w:bCs/>
          <w:kern w:val="2"/>
          <w:sz w:val="24"/>
          <w:szCs w:val="24"/>
          <w:lang w:eastAsia="en-US"/>
          <w14:ligatures w14:val="standardContextual"/>
        </w:rPr>
        <w:t>Os quantitativos da referida aquisição serão demonstrados na tabela a seguir:</w:t>
      </w:r>
    </w:p>
    <w:p w14:paraId="7B18FF98">
      <w:pPr>
        <w:spacing w:line="360" w:lineRule="auto"/>
        <w:jc w:val="both"/>
        <w:rPr>
          <w:rFonts w:ascii="Arial" w:hAnsi="Arial" w:cs="Arial" w:eastAsiaTheme="majorEastAsia"/>
          <w:bCs/>
          <w:kern w:val="2"/>
          <w:sz w:val="24"/>
          <w:szCs w:val="24"/>
          <w:lang w:eastAsia="en-US"/>
          <w14:ligatures w14:val="standardContextual"/>
        </w:rPr>
      </w:pPr>
    </w:p>
    <w:tbl>
      <w:tblPr>
        <w:tblStyle w:val="7"/>
        <w:tblW w:w="9105" w:type="dxa"/>
        <w:tblInd w:w="70" w:type="dxa"/>
        <w:tblLayout w:type="fixed"/>
        <w:tblCellMar>
          <w:top w:w="0" w:type="dxa"/>
          <w:left w:w="70" w:type="dxa"/>
          <w:bottom w:w="0" w:type="dxa"/>
          <w:right w:w="70" w:type="dxa"/>
        </w:tblCellMar>
      </w:tblPr>
      <w:tblGrid>
        <w:gridCol w:w="739"/>
        <w:gridCol w:w="995"/>
        <w:gridCol w:w="739"/>
        <w:gridCol w:w="6632"/>
      </w:tblGrid>
      <w:tr w14:paraId="0D193789">
        <w:tblPrEx>
          <w:tblCellMar>
            <w:top w:w="0" w:type="dxa"/>
            <w:left w:w="70" w:type="dxa"/>
            <w:bottom w:w="0" w:type="dxa"/>
            <w:right w:w="70" w:type="dxa"/>
          </w:tblCellMar>
        </w:tblPrEx>
        <w:trPr>
          <w:trHeight w:val="410" w:hRule="atLeast"/>
        </w:trPr>
        <w:tc>
          <w:tcPr>
            <w:tcW w:w="739" w:type="dxa"/>
            <w:tcBorders>
              <w:top w:val="single" w:color="auto" w:sz="12" w:space="0"/>
              <w:left w:val="single" w:color="auto" w:sz="12" w:space="0"/>
              <w:bottom w:val="single" w:color="auto" w:sz="12" w:space="0"/>
              <w:right w:val="single" w:color="auto" w:sz="12" w:space="0"/>
            </w:tcBorders>
            <w:shd w:val="clear" w:color="auto" w:fill="auto"/>
            <w:vAlign w:val="center"/>
          </w:tcPr>
          <w:p w14:paraId="2DFAE360">
            <w:pPr>
              <w:spacing w:before="60" w:after="60"/>
              <w:jc w:val="center"/>
              <w:rPr>
                <w:rFonts w:ascii="Arial" w:hAnsi="Arial" w:cs="Arial"/>
                <w:color w:val="000000"/>
                <w:lang w:eastAsia="pt-BR"/>
              </w:rPr>
            </w:pPr>
            <w:r>
              <w:rPr>
                <w:rFonts w:ascii="Arial" w:hAnsi="Arial" w:cs="Arial"/>
                <w:color w:val="000000"/>
                <w:lang w:eastAsia="pt-BR"/>
              </w:rPr>
              <w:t>ITEM</w:t>
            </w:r>
          </w:p>
        </w:tc>
        <w:tc>
          <w:tcPr>
            <w:tcW w:w="995" w:type="dxa"/>
            <w:tcBorders>
              <w:top w:val="single" w:color="auto" w:sz="12" w:space="0"/>
              <w:left w:val="nil"/>
              <w:bottom w:val="single" w:color="auto" w:sz="12" w:space="0"/>
              <w:right w:val="single" w:color="auto" w:sz="12" w:space="0"/>
            </w:tcBorders>
            <w:shd w:val="clear" w:color="auto" w:fill="auto"/>
            <w:vAlign w:val="center"/>
          </w:tcPr>
          <w:p w14:paraId="2698B787">
            <w:pPr>
              <w:spacing w:before="60" w:after="60"/>
              <w:jc w:val="center"/>
              <w:rPr>
                <w:rFonts w:ascii="Arial" w:hAnsi="Arial" w:cs="Arial"/>
                <w:color w:val="000000"/>
                <w:lang w:eastAsia="pt-BR"/>
              </w:rPr>
            </w:pPr>
            <w:r>
              <w:rPr>
                <w:rFonts w:ascii="Arial" w:hAnsi="Arial" w:cs="Arial"/>
                <w:color w:val="000000"/>
                <w:lang w:eastAsia="pt-BR"/>
              </w:rPr>
              <w:t>QUANT</w:t>
            </w:r>
          </w:p>
        </w:tc>
        <w:tc>
          <w:tcPr>
            <w:tcW w:w="739" w:type="dxa"/>
            <w:tcBorders>
              <w:top w:val="single" w:color="auto" w:sz="12" w:space="0"/>
              <w:left w:val="nil"/>
              <w:bottom w:val="single" w:color="auto" w:sz="12" w:space="0"/>
              <w:right w:val="single" w:color="auto" w:sz="12" w:space="0"/>
            </w:tcBorders>
            <w:vAlign w:val="center"/>
          </w:tcPr>
          <w:p w14:paraId="57A80949">
            <w:pPr>
              <w:spacing w:before="60" w:after="60"/>
              <w:ind w:left="-57"/>
              <w:jc w:val="center"/>
              <w:rPr>
                <w:rFonts w:ascii="Arial" w:hAnsi="Arial" w:cs="Arial"/>
                <w:color w:val="000000"/>
                <w:lang w:eastAsia="pt-BR"/>
              </w:rPr>
            </w:pPr>
            <w:r>
              <w:rPr>
                <w:rFonts w:ascii="Arial" w:hAnsi="Arial" w:cs="Arial"/>
                <w:color w:val="000000"/>
                <w:lang w:eastAsia="pt-BR"/>
              </w:rPr>
              <w:t>UNID</w:t>
            </w:r>
          </w:p>
        </w:tc>
        <w:tc>
          <w:tcPr>
            <w:tcW w:w="6632" w:type="dxa"/>
            <w:tcBorders>
              <w:top w:val="single" w:color="auto" w:sz="12" w:space="0"/>
              <w:left w:val="single" w:color="auto" w:sz="12" w:space="0"/>
              <w:bottom w:val="single" w:color="auto" w:sz="12" w:space="0"/>
              <w:right w:val="single" w:color="auto" w:sz="12" w:space="0"/>
            </w:tcBorders>
            <w:vAlign w:val="center"/>
          </w:tcPr>
          <w:p w14:paraId="06626F49">
            <w:pPr>
              <w:spacing w:before="60" w:after="60"/>
              <w:jc w:val="center"/>
              <w:rPr>
                <w:rFonts w:ascii="Arial" w:hAnsi="Arial" w:cs="Arial"/>
                <w:color w:val="000000"/>
                <w:lang w:eastAsia="pt-BR"/>
              </w:rPr>
            </w:pPr>
            <w:r>
              <w:rPr>
                <w:rFonts w:ascii="Arial" w:hAnsi="Arial" w:cs="Arial"/>
                <w:color w:val="000000"/>
                <w:lang w:eastAsia="pt-BR"/>
              </w:rPr>
              <w:t>PRODUTO/DESCRIÇÃO</w:t>
            </w:r>
          </w:p>
        </w:tc>
      </w:tr>
      <w:tr w14:paraId="79AEA845">
        <w:tblPrEx>
          <w:tblCellMar>
            <w:top w:w="0" w:type="dxa"/>
            <w:left w:w="70" w:type="dxa"/>
            <w:bottom w:w="0" w:type="dxa"/>
            <w:right w:w="70" w:type="dxa"/>
          </w:tblCellMar>
        </w:tblPrEx>
        <w:trPr>
          <w:trHeight w:val="666" w:hRule="atLeast"/>
        </w:trPr>
        <w:tc>
          <w:tcPr>
            <w:tcW w:w="739" w:type="dxa"/>
            <w:tcBorders>
              <w:top w:val="single" w:color="auto" w:sz="12" w:space="0"/>
              <w:left w:val="single" w:color="auto" w:sz="12" w:space="0"/>
              <w:bottom w:val="single" w:color="auto" w:sz="12" w:space="0"/>
              <w:right w:val="single" w:color="auto" w:sz="12" w:space="0"/>
            </w:tcBorders>
            <w:shd w:val="clear" w:color="auto" w:fill="auto"/>
            <w:vAlign w:val="center"/>
          </w:tcPr>
          <w:p w14:paraId="03D10A33">
            <w:pPr>
              <w:numPr>
                <w:ilvl w:val="0"/>
                <w:numId w:val="12"/>
              </w:numPr>
              <w:suppressAutoHyphens w:val="0"/>
              <w:spacing w:before="60" w:after="60"/>
              <w:ind w:left="530"/>
              <w:jc w:val="center"/>
              <w:rPr>
                <w:rFonts w:ascii="Arial" w:hAnsi="Arial" w:cs="Arial"/>
                <w:color w:val="000000"/>
                <w:lang w:eastAsia="pt-BR"/>
              </w:rPr>
            </w:pPr>
          </w:p>
        </w:tc>
        <w:tc>
          <w:tcPr>
            <w:tcW w:w="995" w:type="dxa"/>
            <w:tcBorders>
              <w:top w:val="single" w:color="auto" w:sz="12" w:space="0"/>
              <w:left w:val="nil"/>
              <w:bottom w:val="single" w:color="auto" w:sz="12" w:space="0"/>
              <w:right w:val="single" w:color="auto" w:sz="12" w:space="0"/>
            </w:tcBorders>
            <w:shd w:val="clear" w:color="auto" w:fill="auto"/>
            <w:vAlign w:val="center"/>
          </w:tcPr>
          <w:p w14:paraId="22DB6C76">
            <w:pPr>
              <w:spacing w:before="60" w:after="60"/>
              <w:jc w:val="center"/>
              <w:textAlignment w:val="baseline"/>
              <w:rPr>
                <w:rFonts w:ascii="Arial" w:hAnsi="Arial" w:cs="Arial"/>
              </w:rPr>
            </w:pPr>
            <w:r>
              <w:rPr>
                <w:rFonts w:ascii="Arial" w:hAnsi="Arial" w:cs="Arial"/>
              </w:rPr>
              <w:t>13</w:t>
            </w:r>
          </w:p>
        </w:tc>
        <w:tc>
          <w:tcPr>
            <w:tcW w:w="739" w:type="dxa"/>
            <w:tcBorders>
              <w:top w:val="single" w:color="auto" w:sz="12" w:space="0"/>
              <w:left w:val="nil"/>
              <w:bottom w:val="single" w:color="auto" w:sz="12" w:space="0"/>
              <w:right w:val="single" w:color="auto" w:sz="12" w:space="0"/>
            </w:tcBorders>
            <w:vAlign w:val="center"/>
          </w:tcPr>
          <w:p w14:paraId="3F08ECB8">
            <w:pPr>
              <w:spacing w:before="60" w:after="60"/>
              <w:jc w:val="center"/>
              <w:rPr>
                <w:rFonts w:ascii="Arial" w:hAnsi="Arial" w:cs="Arial"/>
              </w:rPr>
            </w:pPr>
            <w:r>
              <w:rPr>
                <w:rFonts w:ascii="Arial" w:hAnsi="Arial" w:cs="Arial"/>
              </w:rPr>
              <w:t>UND</w:t>
            </w:r>
          </w:p>
        </w:tc>
        <w:tc>
          <w:tcPr>
            <w:tcW w:w="6632" w:type="dxa"/>
            <w:tcBorders>
              <w:top w:val="single" w:color="auto" w:sz="12" w:space="0"/>
              <w:left w:val="single" w:color="auto" w:sz="12" w:space="0"/>
              <w:bottom w:val="single" w:color="auto" w:sz="12" w:space="0"/>
              <w:right w:val="single" w:color="auto" w:sz="12" w:space="0"/>
            </w:tcBorders>
          </w:tcPr>
          <w:p w14:paraId="6063041E">
            <w:pPr>
              <w:spacing w:before="60" w:after="60"/>
              <w:jc w:val="both"/>
              <w:rPr>
                <w:rFonts w:ascii="Arial" w:hAnsi="Arial" w:cs="Arial"/>
                <w:b/>
                <w:bCs/>
              </w:rPr>
            </w:pPr>
            <w:r>
              <w:rPr>
                <w:rFonts w:ascii="Arial" w:hAnsi="Arial" w:cs="Arial"/>
                <w:b/>
                <w:bCs/>
              </w:rPr>
              <w:t>CONJUNTO COLETIVO CJC 01 MESA COM 4CADEIRAS</w:t>
            </w:r>
          </w:p>
          <w:p w14:paraId="0E1AE6AA">
            <w:pPr>
              <w:spacing w:before="60" w:after="60"/>
              <w:jc w:val="both"/>
              <w:rPr>
                <w:rFonts w:ascii="Arial" w:hAnsi="Arial" w:cs="Arial"/>
              </w:rPr>
            </w:pPr>
            <w:r>
              <w:rPr>
                <w:rFonts w:ascii="Arial" w:hAnsi="Arial" w:cs="Arial"/>
              </w:rPr>
              <w:t>Mesa - Tampo em madeira aglomerada (MDP), com espessura de 25 mm, revestido na face superior em laminado melamínico de alta pressão, 0,8 mm de espessura, acabamento texturizado, na cor CINZA.</w:t>
            </w:r>
          </w:p>
          <w:p w14:paraId="5F79177F">
            <w:pPr>
              <w:spacing w:before="60" w:after="60"/>
              <w:jc w:val="both"/>
              <w:rPr>
                <w:rFonts w:ascii="Arial" w:hAnsi="Arial" w:cs="Arial"/>
              </w:rPr>
            </w:pPr>
            <w:r>
              <w:rPr>
                <w:rFonts w:ascii="Arial" w:hAnsi="Arial" w:cs="Arial"/>
              </w:rPr>
              <w:t>Revestimento na face inferior em laminado melamínico de baixa pressão - BP, na cor BRANCA. Furação e colocação de buchas em zamac, autoatarraxantes, rosca interna 1/4 x 13 mm de comprimento, conforme projeto e detalhamento. Dimensões acabadas 800 mm (largura) x 800 mm (comprimento) x 25,8 mm (espessura), admitindo-se tolerância de até + 2 mm para largura e comprimento e +/-1 mm para espessura. Topos encabeçados com fita de bordo em PVC (cloreto de polinivinila) com "primer", acabamento texturizado, na cor LARANJA, coladas com adesivo "Hot Melting". Dimensões nominais de 29 mm (largura) x 3 mm(espessura), com tolerância de até 2,5 mm para espessura. Estrutura da mesa compostas de: - Pés confeccionados em tubo de aço carbono, laminado a frio, com costura, ® = 38 mm (1 1/2"), em chapa 16 (1,5</w:t>
            </w:r>
          </w:p>
          <w:p w14:paraId="0A764E6D">
            <w:pPr>
              <w:spacing w:before="60" w:after="60"/>
              <w:jc w:val="both"/>
              <w:rPr>
                <w:rFonts w:ascii="Arial" w:hAnsi="Arial" w:cs="Arial"/>
              </w:rPr>
            </w:pPr>
            <w:r>
              <w:rPr>
                <w:rFonts w:ascii="Arial" w:hAnsi="Arial" w:cs="Arial"/>
              </w:rPr>
              <w:t>- Travessas em tubo de aço carbono, laminado a frio, com costura, secção retangular de 20 mm x 40 mm, em chapa 16 (1,5 mm); - Segmento de tubo h = 40 mm, em chapa 16 (1,5 mm). Altura da mesa: 46 cm.Tampo da mesa quadrada para 04 lugares: 80 cm x 80cm.</w:t>
            </w:r>
          </w:p>
          <w:p w14:paraId="666F45D3">
            <w:pPr>
              <w:spacing w:before="60" w:after="60"/>
              <w:jc w:val="both"/>
              <w:rPr>
                <w:rFonts w:ascii="Arial" w:hAnsi="Arial" w:cs="Arial"/>
              </w:rPr>
            </w:pPr>
            <w:r>
              <w:rPr>
                <w:rFonts w:ascii="Arial" w:hAnsi="Arial" w:cs="Arial"/>
              </w:rPr>
              <w:t>Altura do assento da cadeira ao chão: 26 cm Assento da cadeira: 26 cm x 34 cm Encosto da cadeira: 15,5 cm x 35 cm</w:t>
            </w:r>
          </w:p>
        </w:tc>
      </w:tr>
      <w:tr w14:paraId="6FC66B5B">
        <w:tblPrEx>
          <w:tblCellMar>
            <w:top w:w="0" w:type="dxa"/>
            <w:left w:w="70" w:type="dxa"/>
            <w:bottom w:w="0" w:type="dxa"/>
            <w:right w:w="70" w:type="dxa"/>
          </w:tblCellMar>
        </w:tblPrEx>
        <w:trPr>
          <w:trHeight w:val="796" w:hRule="atLeast"/>
        </w:trPr>
        <w:tc>
          <w:tcPr>
            <w:tcW w:w="739" w:type="dxa"/>
            <w:tcBorders>
              <w:top w:val="single" w:color="auto" w:sz="12" w:space="0"/>
              <w:left w:val="single" w:color="auto" w:sz="12" w:space="0"/>
              <w:bottom w:val="single" w:color="auto" w:sz="12" w:space="0"/>
              <w:right w:val="single" w:color="auto" w:sz="12" w:space="0"/>
            </w:tcBorders>
            <w:shd w:val="clear" w:color="auto" w:fill="auto"/>
            <w:vAlign w:val="center"/>
          </w:tcPr>
          <w:p w14:paraId="27CA0A95">
            <w:pPr>
              <w:numPr>
                <w:ilvl w:val="0"/>
                <w:numId w:val="12"/>
              </w:numPr>
              <w:suppressAutoHyphens w:val="0"/>
              <w:spacing w:before="60" w:after="60"/>
              <w:ind w:left="530"/>
              <w:jc w:val="center"/>
              <w:rPr>
                <w:rFonts w:ascii="Arial" w:hAnsi="Arial" w:cs="Arial"/>
                <w:color w:val="000000"/>
                <w:lang w:eastAsia="pt-BR"/>
              </w:rPr>
            </w:pPr>
          </w:p>
        </w:tc>
        <w:tc>
          <w:tcPr>
            <w:tcW w:w="995" w:type="dxa"/>
            <w:tcBorders>
              <w:top w:val="single" w:color="auto" w:sz="12" w:space="0"/>
              <w:left w:val="nil"/>
              <w:bottom w:val="single" w:color="auto" w:sz="12" w:space="0"/>
              <w:right w:val="single" w:color="auto" w:sz="12" w:space="0"/>
            </w:tcBorders>
            <w:shd w:val="clear" w:color="auto" w:fill="auto"/>
            <w:vAlign w:val="center"/>
          </w:tcPr>
          <w:p w14:paraId="19313654">
            <w:pPr>
              <w:spacing w:before="60" w:after="60"/>
              <w:jc w:val="center"/>
              <w:textAlignment w:val="baseline"/>
              <w:rPr>
                <w:rFonts w:ascii="Arial" w:hAnsi="Arial" w:cs="Arial"/>
              </w:rPr>
            </w:pPr>
            <w:r>
              <w:rPr>
                <w:rFonts w:ascii="Arial" w:hAnsi="Arial" w:cs="Arial"/>
              </w:rPr>
              <w:t>2</w:t>
            </w:r>
          </w:p>
        </w:tc>
        <w:tc>
          <w:tcPr>
            <w:tcW w:w="739" w:type="dxa"/>
            <w:tcBorders>
              <w:top w:val="single" w:color="auto" w:sz="12" w:space="0"/>
              <w:left w:val="nil"/>
              <w:bottom w:val="single" w:color="auto" w:sz="12" w:space="0"/>
              <w:right w:val="single" w:color="auto" w:sz="12" w:space="0"/>
            </w:tcBorders>
            <w:vAlign w:val="center"/>
          </w:tcPr>
          <w:p w14:paraId="41E1AE7D">
            <w:pPr>
              <w:spacing w:before="60" w:after="60"/>
              <w:jc w:val="center"/>
              <w:rPr>
                <w:rFonts w:ascii="Arial" w:hAnsi="Arial" w:cs="Arial"/>
                <w:color w:val="000000"/>
                <w:lang w:eastAsia="pt-BR"/>
              </w:rPr>
            </w:pPr>
            <w:r>
              <w:rPr>
                <w:rFonts w:ascii="Arial" w:hAnsi="Arial" w:cs="Arial"/>
              </w:rPr>
              <w:t>UND</w:t>
            </w:r>
          </w:p>
        </w:tc>
        <w:tc>
          <w:tcPr>
            <w:tcW w:w="6632" w:type="dxa"/>
            <w:tcBorders>
              <w:top w:val="single" w:color="auto" w:sz="12" w:space="0"/>
              <w:left w:val="single" w:color="auto" w:sz="12" w:space="0"/>
              <w:bottom w:val="single" w:color="auto" w:sz="12" w:space="0"/>
              <w:right w:val="single" w:color="auto" w:sz="12" w:space="0"/>
            </w:tcBorders>
            <w:vAlign w:val="center"/>
          </w:tcPr>
          <w:p w14:paraId="36859FB8">
            <w:pPr>
              <w:spacing w:before="60" w:after="60"/>
              <w:jc w:val="both"/>
              <w:rPr>
                <w:rFonts w:ascii="Arial" w:hAnsi="Arial" w:cs="Arial"/>
                <w:color w:val="000000"/>
                <w:lang w:eastAsia="pt-BR"/>
              </w:rPr>
            </w:pPr>
            <w:r>
              <w:rPr>
                <w:rFonts w:ascii="Arial" w:hAnsi="Arial" w:cs="Arial"/>
                <w:b/>
                <w:bCs/>
                <w:color w:val="000000"/>
                <w:lang w:eastAsia="pt-BR"/>
              </w:rPr>
              <w:t>Escrivaninha para estudos em madeira industrial</w:t>
            </w:r>
            <w:r>
              <w:rPr>
                <w:rFonts w:ascii="Arial" w:hAnsi="Arial" w:cs="Arial"/>
                <w:color w:val="000000"/>
                <w:lang w:eastAsia="pt-BR"/>
              </w:rPr>
              <w:t xml:space="preserve">, Produzido em MDF, Partes em MDP, Pintura em UV, </w:t>
            </w:r>
            <w:r>
              <w:rPr>
                <w:rFonts w:ascii="Arial" w:hAnsi="Arial" w:cs="Arial"/>
                <w:b/>
                <w:bCs/>
                <w:color w:val="000000"/>
                <w:lang w:eastAsia="pt-BR"/>
              </w:rPr>
              <w:t>Informações Técnicas</w:t>
            </w:r>
            <w:r>
              <w:rPr>
                <w:rFonts w:ascii="Arial" w:hAnsi="Arial" w:cs="Arial"/>
                <w:color w:val="000000"/>
                <w:lang w:eastAsia="pt-BR"/>
              </w:rPr>
              <w:t>: Altura: 134 cm, Largura: 121 cm, Profundidade: 47 cm</w:t>
            </w:r>
          </w:p>
        </w:tc>
      </w:tr>
      <w:tr w14:paraId="73A4C4F0">
        <w:tblPrEx>
          <w:tblCellMar>
            <w:top w:w="0" w:type="dxa"/>
            <w:left w:w="70" w:type="dxa"/>
            <w:bottom w:w="0" w:type="dxa"/>
            <w:right w:w="70" w:type="dxa"/>
          </w:tblCellMar>
        </w:tblPrEx>
        <w:trPr>
          <w:trHeight w:val="512" w:hRule="atLeast"/>
        </w:trPr>
        <w:tc>
          <w:tcPr>
            <w:tcW w:w="739" w:type="dxa"/>
            <w:tcBorders>
              <w:top w:val="single" w:color="auto" w:sz="12" w:space="0"/>
              <w:left w:val="single" w:color="auto" w:sz="12" w:space="0"/>
              <w:bottom w:val="single" w:color="auto" w:sz="12" w:space="0"/>
              <w:right w:val="single" w:color="auto" w:sz="12" w:space="0"/>
            </w:tcBorders>
            <w:shd w:val="clear" w:color="auto" w:fill="auto"/>
            <w:vAlign w:val="center"/>
          </w:tcPr>
          <w:p w14:paraId="285594A5">
            <w:pPr>
              <w:numPr>
                <w:ilvl w:val="0"/>
                <w:numId w:val="12"/>
              </w:numPr>
              <w:suppressAutoHyphens w:val="0"/>
              <w:spacing w:before="60" w:after="60"/>
              <w:ind w:left="530"/>
              <w:jc w:val="center"/>
              <w:rPr>
                <w:rFonts w:ascii="Arial" w:hAnsi="Arial" w:cs="Arial"/>
                <w:color w:val="000000"/>
                <w:lang w:eastAsia="pt-BR"/>
              </w:rPr>
            </w:pPr>
          </w:p>
        </w:tc>
        <w:tc>
          <w:tcPr>
            <w:tcW w:w="995" w:type="dxa"/>
            <w:tcBorders>
              <w:top w:val="single" w:color="auto" w:sz="12" w:space="0"/>
              <w:left w:val="nil"/>
              <w:bottom w:val="single" w:color="auto" w:sz="12" w:space="0"/>
              <w:right w:val="single" w:color="auto" w:sz="12" w:space="0"/>
            </w:tcBorders>
            <w:shd w:val="clear" w:color="auto" w:fill="auto"/>
            <w:vAlign w:val="center"/>
          </w:tcPr>
          <w:p w14:paraId="3289BEA6">
            <w:pPr>
              <w:spacing w:before="60" w:after="60"/>
              <w:jc w:val="center"/>
              <w:textAlignment w:val="baseline"/>
              <w:rPr>
                <w:rFonts w:ascii="Arial" w:hAnsi="Arial" w:cs="Arial"/>
              </w:rPr>
            </w:pPr>
            <w:r>
              <w:rPr>
                <w:rFonts w:ascii="Arial" w:hAnsi="Arial" w:cs="Arial"/>
              </w:rPr>
              <w:t>2</w:t>
            </w:r>
          </w:p>
        </w:tc>
        <w:tc>
          <w:tcPr>
            <w:tcW w:w="739" w:type="dxa"/>
            <w:tcBorders>
              <w:top w:val="single" w:color="auto" w:sz="12" w:space="0"/>
              <w:left w:val="nil"/>
              <w:bottom w:val="single" w:color="auto" w:sz="12" w:space="0"/>
              <w:right w:val="single" w:color="auto" w:sz="12" w:space="0"/>
            </w:tcBorders>
            <w:vAlign w:val="center"/>
          </w:tcPr>
          <w:p w14:paraId="45E07B42">
            <w:pPr>
              <w:spacing w:before="60" w:after="60"/>
              <w:jc w:val="center"/>
              <w:rPr>
                <w:rFonts w:ascii="Arial" w:hAnsi="Arial" w:cs="Arial"/>
              </w:rPr>
            </w:pPr>
            <w:r>
              <w:rPr>
                <w:rFonts w:ascii="Arial" w:hAnsi="Arial" w:cs="Arial"/>
              </w:rPr>
              <w:t>UND</w:t>
            </w:r>
          </w:p>
        </w:tc>
        <w:tc>
          <w:tcPr>
            <w:tcW w:w="6632" w:type="dxa"/>
            <w:tcBorders>
              <w:top w:val="single" w:color="auto" w:sz="12" w:space="0"/>
              <w:left w:val="single" w:color="auto" w:sz="12" w:space="0"/>
              <w:bottom w:val="single" w:color="auto" w:sz="12" w:space="0"/>
              <w:right w:val="single" w:color="auto" w:sz="12" w:space="0"/>
            </w:tcBorders>
            <w:vAlign w:val="center"/>
          </w:tcPr>
          <w:p w14:paraId="3B1F9570">
            <w:pPr>
              <w:spacing w:before="60" w:after="60"/>
              <w:rPr>
                <w:rFonts w:ascii="Arial" w:hAnsi="Arial" w:cs="Arial"/>
                <w:color w:val="000000"/>
                <w:lang w:eastAsia="pt-BR"/>
              </w:rPr>
            </w:pPr>
            <w:r>
              <w:rPr>
                <w:rFonts w:ascii="Arial" w:hAnsi="Arial" w:cs="Arial"/>
                <w:b/>
                <w:bCs/>
                <w:sz w:val="24"/>
                <w:szCs w:val="24"/>
                <w:lang w:eastAsia="pt-BR"/>
              </w:rPr>
              <w:t xml:space="preserve">Conjunto FNDE Refeitório M4C-03 </w:t>
            </w:r>
            <w:r>
              <w:rPr>
                <w:rFonts w:ascii="Arial" w:hAnsi="Arial" w:cs="Arial"/>
                <w:color w:val="000000"/>
                <w:lang w:eastAsia="pt-BR"/>
              </w:rPr>
              <w:t>Mesa: estrutura com pés em tubo de aço 1 1/2" em chapa 16 (1,5mm). Ref: M4C-03 Mesa.Travessa longitudinal em tubo de aço 40x40mm em chapa 16 (1,5mm). Travessas transversais em tubo de secção retangular 20x50mm em chapa 16 (1,5mm). Suportes estruturais e de fixação do tampo em chapa de aço espessura de 3mm. Aletas de fixação do tampo em chapa de aço 14 (1,9mm). Fixação do tampo à estruturas através de 02 parafusos 4.5x50 FH chato dourado e parafusos para aglomerado, de 4,5mm x 22mm, cabeça panela, fenda Phillips, bicromatizados. Ponteiras e sapatas em polipropileno copolímero virgem e sem cargas, injetadas na cor amarela fixadas à estrutura através de encaixe. Tampo(1200x600mm) em madeira aglomerada (MDP) espessura de 25mm, revestido na face superior em laminado melamínico de alta pressão, 0,8mm de espessura, acabamento frost, na cor branca. Revestimento na face inferior em laminado melamínico de baixa pressão - BP, acabamento frost, na cor branca. Topos transversais e longitudinais encabeçados com fita de bordo em PVC com primer, 29mm (largura) x 3mm (espessura), na cor amarela coladas com adesivo "Hot Melting". Altura 590mm.</w:t>
            </w:r>
          </w:p>
          <w:p w14:paraId="0C7963CF">
            <w:pPr>
              <w:spacing w:before="60" w:after="60"/>
              <w:rPr>
                <w:rFonts w:ascii="Arial" w:hAnsi="Arial" w:cs="Arial"/>
                <w:color w:val="000000"/>
                <w:lang w:eastAsia="pt-BR"/>
              </w:rPr>
            </w:pPr>
          </w:p>
        </w:tc>
      </w:tr>
    </w:tbl>
    <w:p w14:paraId="78886C6C">
      <w:pPr>
        <w:spacing w:line="360" w:lineRule="auto"/>
        <w:jc w:val="both"/>
        <w:rPr>
          <w:rFonts w:ascii="Arial" w:hAnsi="Arial" w:cs="Arial" w:eastAsiaTheme="majorEastAsia"/>
          <w:bCs/>
          <w:kern w:val="2"/>
          <w:sz w:val="24"/>
          <w:szCs w:val="24"/>
          <w:lang w:eastAsia="en-US"/>
          <w14:ligatures w14:val="standardContextual"/>
        </w:rPr>
      </w:pPr>
    </w:p>
    <w:p w14:paraId="5A4D2690">
      <w:pPr>
        <w:spacing w:line="360" w:lineRule="auto"/>
        <w:jc w:val="both"/>
        <w:rPr>
          <w:rFonts w:ascii="Arial" w:hAnsi="Arial" w:cs="Arial"/>
          <w:sz w:val="24"/>
          <w:szCs w:val="24"/>
        </w:rPr>
      </w:pPr>
      <w:r>
        <w:rPr>
          <w:rFonts w:ascii="Arial" w:hAnsi="Arial" w:cs="Arial"/>
          <w:sz w:val="24"/>
          <w:szCs w:val="24"/>
        </w:rPr>
        <w:t>A validade da ARP será de 12 (doze) meses, podendo ser prorrogada por igual período, nos termos do disposto no art. 84 da Lei Federal n. 14.133/2021.</w:t>
      </w:r>
      <w:r>
        <w:rPr>
          <w:rFonts w:ascii="Arial" w:hAnsi="Arial" w:cs="Arial"/>
          <w:color w:val="FF0000"/>
          <w:sz w:val="24"/>
          <w:szCs w:val="24"/>
        </w:rPr>
        <w:t xml:space="preserve"> </w:t>
      </w:r>
      <w:r>
        <w:rPr>
          <w:rFonts w:ascii="Arial" w:hAnsi="Arial" w:cs="Arial"/>
          <w:sz w:val="24"/>
          <w:szCs w:val="24"/>
        </w:rPr>
        <w:t>O prazo de entrega dos materiais será de até 15 (quinze) dias após a Solicitação de Fornecimento.</w:t>
      </w:r>
      <w:r>
        <w:rPr>
          <w:color w:val="FF0000"/>
        </w:rPr>
        <w:t xml:space="preserve"> </w:t>
      </w:r>
    </w:p>
    <w:p w14:paraId="0380FFB1">
      <w:pPr>
        <w:spacing w:line="360" w:lineRule="auto"/>
        <w:jc w:val="both"/>
        <w:rPr>
          <w:rFonts w:ascii="Arial" w:hAnsi="Arial" w:cs="Arial"/>
          <w:b/>
          <w:bCs/>
          <w:sz w:val="24"/>
          <w:szCs w:val="24"/>
          <w:highlight w:val="yellow"/>
        </w:rPr>
      </w:pPr>
    </w:p>
    <w:p w14:paraId="0FF775FD">
      <w:pPr>
        <w:spacing w:line="360" w:lineRule="auto"/>
        <w:jc w:val="both"/>
        <w:rPr>
          <w:rFonts w:ascii="Arial" w:hAnsi="Arial" w:eastAsia="Arial-BoldMT" w:cs="Arial"/>
          <w:b/>
          <w:bCs/>
          <w:sz w:val="24"/>
          <w:szCs w:val="24"/>
          <w:highlight w:val="yellow"/>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67C43A09">
      <w:pPr>
        <w:suppressAutoHyphens w:val="0"/>
        <w:spacing w:line="360" w:lineRule="auto"/>
        <w:jc w:val="both"/>
        <w:rPr>
          <w:rFonts w:ascii="Arial" w:hAnsi="Arial" w:eastAsia="Arial-BoldMT" w:cs="Arial"/>
          <w:b/>
          <w:bCs/>
          <w:sz w:val="24"/>
          <w:szCs w:val="24"/>
        </w:rPr>
      </w:pPr>
    </w:p>
    <w:p w14:paraId="0ABD5474">
      <w:pPr>
        <w:suppressAutoHyphens w:val="0"/>
        <w:spacing w:line="360" w:lineRule="auto"/>
        <w:jc w:val="both"/>
        <w:rPr>
          <w:rFonts w:ascii="Arial" w:hAnsi="Arial" w:cs="Arial"/>
          <w:sz w:val="24"/>
          <w:szCs w:val="24"/>
          <w:lang w:eastAsia="pt-BR"/>
        </w:rPr>
      </w:pPr>
      <w:r>
        <w:rPr>
          <w:rFonts w:ascii="Arial" w:hAnsi="Arial" w:cs="Arial"/>
          <w:sz w:val="24"/>
          <w:szCs w:val="24"/>
          <w:lang w:eastAsia="pt-BR"/>
        </w:rPr>
        <w:t xml:space="preserve">A contratação para a </w:t>
      </w:r>
      <w:r>
        <w:rPr>
          <w:rFonts w:ascii="Arial" w:hAnsi="Arial" w:cs="Arial"/>
          <w:b/>
          <w:bCs/>
          <w:sz w:val="24"/>
          <w:szCs w:val="24"/>
          <w:lang w:eastAsia="pt-BR"/>
        </w:rPr>
        <w:t>aquisição de itens de mobiliário escolar</w:t>
      </w:r>
      <w:r>
        <w:rPr>
          <w:rFonts w:ascii="Arial" w:hAnsi="Arial" w:cs="Arial"/>
          <w:sz w:val="24"/>
          <w:szCs w:val="24"/>
          <w:lang w:eastAsia="pt-BR"/>
        </w:rPr>
        <w:t xml:space="preserve">, especificamente </w:t>
      </w:r>
      <w:r>
        <w:rPr>
          <w:rFonts w:ascii="Arial" w:hAnsi="Arial" w:cs="Arial"/>
          <w:b/>
          <w:bCs/>
          <w:sz w:val="24"/>
          <w:szCs w:val="24"/>
          <w:lang w:eastAsia="pt-BR"/>
        </w:rPr>
        <w:t>conjuntos coletivos CJC 01 – compostos por mesa com 4 cadeiras, Conjunto FNDE Refeitório M4C-03 e escrivaninhas para estudos em madeira industrial</w:t>
      </w:r>
      <w:r>
        <w:rPr>
          <w:rFonts w:ascii="Arial" w:hAnsi="Arial" w:cs="Arial"/>
          <w:sz w:val="24"/>
          <w:szCs w:val="24"/>
          <w:lang w:eastAsia="pt-BR"/>
        </w:rPr>
        <w:t xml:space="preserve">, destinados à </w:t>
      </w:r>
      <w:r>
        <w:rPr>
          <w:rFonts w:ascii="Arial" w:hAnsi="Arial" w:cs="Arial"/>
          <w:b/>
          <w:bCs/>
          <w:sz w:val="24"/>
          <w:szCs w:val="24"/>
          <w:lang w:eastAsia="pt-BR"/>
        </w:rPr>
        <w:t>Creche Escola Rosinéia Marcelino Lourenço</w:t>
      </w:r>
      <w:r>
        <w:rPr>
          <w:rFonts w:ascii="Arial" w:hAnsi="Arial" w:cs="Arial"/>
          <w:sz w:val="24"/>
          <w:szCs w:val="24"/>
          <w:lang w:eastAsia="pt-BR"/>
        </w:rPr>
        <w:t xml:space="preserve"> e à </w:t>
      </w:r>
      <w:r>
        <w:rPr>
          <w:rFonts w:ascii="Arial" w:hAnsi="Arial" w:cs="Arial"/>
          <w:b/>
          <w:bCs/>
          <w:sz w:val="24"/>
          <w:szCs w:val="24"/>
          <w:lang w:eastAsia="pt-BR"/>
        </w:rPr>
        <w:t>EMEB João Etchebehere</w:t>
      </w:r>
      <w:r>
        <w:rPr>
          <w:rFonts w:ascii="Arial" w:hAnsi="Arial" w:cs="Arial"/>
          <w:sz w:val="24"/>
          <w:szCs w:val="24"/>
          <w:lang w:eastAsia="pt-BR"/>
        </w:rPr>
        <w:t>, é fundamentada na necessidade de garantir um ambiente saudável, seguro e propício ao desenvolvimento integral das crianças atendidas por essas instituições.</w:t>
      </w:r>
    </w:p>
    <w:p w14:paraId="1C5DAA1A">
      <w:pPr>
        <w:suppressAutoHyphens w:val="0"/>
        <w:spacing w:line="360" w:lineRule="auto"/>
        <w:jc w:val="both"/>
        <w:rPr>
          <w:rFonts w:ascii="Arial" w:hAnsi="Arial" w:cs="Arial"/>
          <w:sz w:val="24"/>
          <w:szCs w:val="24"/>
          <w:lang w:eastAsia="pt-BR"/>
        </w:rPr>
      </w:pPr>
      <w:r>
        <w:rPr>
          <w:rFonts w:ascii="Arial" w:hAnsi="Arial" w:cs="Arial"/>
          <w:sz w:val="24"/>
          <w:szCs w:val="24"/>
          <w:lang w:eastAsia="pt-BR"/>
        </w:rPr>
        <w:t>A disponibilização desses mobiliários é essencial, pois contribui diretamente para a promoção do conforto, da organização do espaço físico e da melhoria das práticas pedagógicas. Ao possibilitar ambientes mais adequados e funcionais, os móveis favorecem a socialização, a autonomia dos alunos e a realização de atividades educativas em espaços planejados para atender às suas necessidades.</w:t>
      </w:r>
    </w:p>
    <w:p w14:paraId="5053779E">
      <w:pPr>
        <w:suppressAutoHyphens w:val="0"/>
        <w:spacing w:line="360" w:lineRule="auto"/>
        <w:jc w:val="both"/>
        <w:rPr>
          <w:rFonts w:ascii="Arial" w:hAnsi="Arial" w:cs="Arial"/>
          <w:sz w:val="24"/>
          <w:szCs w:val="24"/>
          <w:lang w:eastAsia="pt-BR"/>
        </w:rPr>
      </w:pPr>
      <w:r>
        <w:rPr>
          <w:rFonts w:ascii="Arial" w:hAnsi="Arial" w:cs="Arial"/>
          <w:sz w:val="24"/>
          <w:szCs w:val="24"/>
          <w:lang w:eastAsia="pt-BR"/>
        </w:rPr>
        <w:t>Além disso, a aquisição atende às normas de segurança, acessibilidade e ergonomia vigentes, assegurando que as instituições operem dentro dos padrões legais e ofereçam condições adequadas de uso tanto para alunos quanto para profissionais. A presença de mobiliário adequado também contribui para a prevenção de acidentes e para o bem-estar físico e emocional das crianças.</w:t>
      </w:r>
    </w:p>
    <w:p w14:paraId="2D20CFE0">
      <w:pPr>
        <w:suppressAutoHyphens w:val="0"/>
        <w:spacing w:line="360" w:lineRule="auto"/>
        <w:jc w:val="both"/>
        <w:rPr>
          <w:rFonts w:ascii="Arial" w:hAnsi="Arial" w:cs="Arial"/>
          <w:sz w:val="24"/>
          <w:szCs w:val="24"/>
          <w:lang w:eastAsia="pt-BR"/>
        </w:rPr>
      </w:pPr>
      <w:r>
        <w:rPr>
          <w:rFonts w:ascii="Arial" w:hAnsi="Arial" w:cs="Arial"/>
          <w:sz w:val="24"/>
          <w:szCs w:val="24"/>
          <w:lang w:eastAsia="pt-BR"/>
        </w:rPr>
        <w:t>Outro aspecto importante é a eficiência na gestão dos recursos públicos, uma vez que a compra planejada desses itens garante o atendimento contínuo das necessidades escolares, evitando improvisos e proporcionando ambientes mais acolhedores, inclusivos e preparados para o processo de ensino-aprendizagem.</w:t>
      </w:r>
    </w:p>
    <w:p w14:paraId="5ED3984B">
      <w:pPr>
        <w:suppressAutoHyphens w:val="0"/>
        <w:spacing w:line="360" w:lineRule="auto"/>
        <w:jc w:val="both"/>
        <w:rPr>
          <w:rFonts w:ascii="Arial" w:hAnsi="Arial" w:cs="Arial"/>
          <w:sz w:val="24"/>
          <w:szCs w:val="24"/>
          <w:lang w:eastAsia="pt-BR"/>
        </w:rPr>
      </w:pPr>
      <w:r>
        <w:rPr>
          <w:rFonts w:ascii="Arial" w:hAnsi="Arial" w:cs="Arial"/>
          <w:sz w:val="24"/>
          <w:szCs w:val="24"/>
          <w:lang w:eastAsia="pt-BR"/>
        </w:rPr>
        <w:t>Dessa forma, a contratação para a aquisição dos referidos mobiliários representa uma medida estratégica e essencial para a estruturação das unidades escolares, contribuindo diretamente para a qualidade da educação oferecida, bem como para o conforto, segurança e desenvolvimento pleno dos alunos atendidos.</w:t>
      </w:r>
    </w:p>
    <w:p w14:paraId="4E380A2D">
      <w:pPr>
        <w:suppressAutoHyphens w:val="0"/>
        <w:spacing w:line="360" w:lineRule="auto"/>
        <w:jc w:val="both"/>
        <w:rPr>
          <w:rFonts w:ascii="Arial" w:hAnsi="Arial" w:cs="Arial"/>
          <w:sz w:val="24"/>
          <w:szCs w:val="24"/>
          <w:lang w:eastAsia="pt-BR"/>
        </w:rPr>
      </w:pPr>
      <w:r>
        <w:rPr>
          <w:rFonts w:ascii="Arial" w:hAnsi="Arial" w:cs="Arial"/>
          <w:sz w:val="24"/>
          <w:szCs w:val="24"/>
          <w:lang w:eastAsia="pt-BR"/>
        </w:rPr>
        <w:t>Além de reforçar o compromisso das unidades de ensino com a qualidade da educação e do bem-estar infantil e profissional.</w:t>
      </w:r>
    </w:p>
    <w:p w14:paraId="56EB359D">
      <w:pPr>
        <w:spacing w:line="360" w:lineRule="auto"/>
        <w:jc w:val="both"/>
        <w:rPr>
          <w:rFonts w:ascii="Arial" w:hAnsi="Arial" w:cs="Arial"/>
          <w:sz w:val="24"/>
          <w:szCs w:val="24"/>
          <w:highlight w:val="yellow"/>
        </w:rPr>
      </w:pPr>
    </w:p>
    <w:p w14:paraId="44B6AC5E">
      <w:pPr>
        <w:spacing w:line="360" w:lineRule="auto"/>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1FCD2786">
      <w:pPr>
        <w:spacing w:line="360" w:lineRule="auto"/>
        <w:jc w:val="both"/>
        <w:rPr>
          <w:rFonts w:ascii="Arial" w:hAnsi="Arial" w:eastAsia="Arial-BoldMT" w:cs="Arial"/>
          <w:b/>
          <w:bCs/>
          <w:sz w:val="24"/>
          <w:szCs w:val="24"/>
        </w:rPr>
      </w:pPr>
    </w:p>
    <w:p w14:paraId="1C720ACC">
      <w:pPr>
        <w:spacing w:line="360" w:lineRule="auto"/>
        <w:jc w:val="both"/>
        <w:rPr>
          <w:rFonts w:ascii="Arial" w:hAnsi="Arial" w:eastAsia="Arial-BoldMT" w:cs="Arial"/>
          <w:sz w:val="24"/>
          <w:szCs w:val="24"/>
        </w:rPr>
      </w:pPr>
      <w:r>
        <w:rPr>
          <w:rFonts w:ascii="Arial" w:hAnsi="Arial" w:eastAsia="Arial-BoldMT" w:cs="Arial"/>
          <w:sz w:val="24"/>
          <w:szCs w:val="24"/>
        </w:rPr>
        <w:t>A solução proposta para a aquisição de conjuntos coletivos CJC 01 – compostos por mesa com 4 cadeiras,</w:t>
      </w:r>
      <w:r>
        <w:rPr>
          <w:rFonts w:ascii="Arial" w:hAnsi="Arial" w:cs="Arial"/>
          <w:b/>
          <w:bCs/>
          <w:sz w:val="24"/>
          <w:szCs w:val="24"/>
          <w:lang w:eastAsia="pt-BR"/>
        </w:rPr>
        <w:t xml:space="preserve"> </w:t>
      </w:r>
      <w:r>
        <w:rPr>
          <w:rFonts w:ascii="Arial" w:hAnsi="Arial" w:cs="Arial"/>
          <w:sz w:val="24"/>
          <w:szCs w:val="24"/>
          <w:lang w:eastAsia="pt-BR"/>
        </w:rPr>
        <w:t>Conjunto FNDE Refeitório M4C-03</w:t>
      </w:r>
      <w:r>
        <w:rPr>
          <w:rFonts w:ascii="Arial" w:hAnsi="Arial" w:eastAsia="Arial-BoldMT" w:cs="Arial"/>
          <w:sz w:val="24"/>
          <w:szCs w:val="24"/>
        </w:rPr>
        <w:t xml:space="preserve"> e escrivaninhas de madeira industrial, destinados a Creche Escola Rosinéia Marcelino Lourenço, bem como à EMEB João Etchebehere, visa garantir a disponibilidade contínua de mobiliário escolar essencial para o adequado desenvolvimento das atividades pedagógicas e o conforto das crianças, funcionários e demais integrantes da comunidade escolar.</w:t>
      </w:r>
    </w:p>
    <w:p w14:paraId="5E14FE66">
      <w:pPr>
        <w:spacing w:line="360" w:lineRule="auto"/>
        <w:jc w:val="both"/>
        <w:rPr>
          <w:rFonts w:ascii="Arial" w:hAnsi="Arial" w:eastAsia="Arial-BoldMT" w:cs="Arial"/>
          <w:sz w:val="24"/>
          <w:szCs w:val="24"/>
        </w:rPr>
      </w:pPr>
      <w:r>
        <w:rPr>
          <w:rFonts w:ascii="Arial" w:hAnsi="Arial" w:eastAsia="Arial-BoldMT" w:cs="Arial"/>
          <w:sz w:val="24"/>
          <w:szCs w:val="24"/>
        </w:rPr>
        <w:t>A abordagem adotada contempla todo o ciclo de vida da aquisição, abrangendo desde o planejamento e compra até a entrega, instalação, uso adequado, manutenção preventiva e eventual substituição ou descarte responsável dos móveis.</w:t>
      </w:r>
    </w:p>
    <w:p w14:paraId="66707FC8">
      <w:pPr>
        <w:spacing w:line="360" w:lineRule="auto"/>
        <w:jc w:val="both"/>
        <w:rPr>
          <w:rFonts w:ascii="Arial" w:hAnsi="Arial" w:eastAsia="Arial-BoldMT" w:cs="Arial"/>
          <w:sz w:val="24"/>
          <w:szCs w:val="24"/>
        </w:rPr>
      </w:pPr>
      <w:r>
        <w:rPr>
          <w:rFonts w:ascii="Arial" w:hAnsi="Arial" w:eastAsia="Arial-BoldMT" w:cs="Arial"/>
          <w:sz w:val="24"/>
          <w:szCs w:val="24"/>
        </w:rPr>
        <w:t>No momento da aquisição, os itens serão selecionados com base em critérios de qualidade, resistência, ergonomia, segurança e conformidade com as normas técnicas vigentes, assegurando que os móveis atendam plenamente às necessidades das instituições de ensino. A entrega será realizada diretamente nas unidades escolares, acompanhada da documentação necessária, como notas fiscais, certificados de conformidade, laudos técnicos e termos de garantia, quando aplicável. Antes do aceite definitivo, será realizada uma inspeção detalhada para verificar se os móveis entregues correspondem às especificações contratuais, garantindo o cumprimento dos padrões exigidos.</w:t>
      </w:r>
    </w:p>
    <w:p w14:paraId="04E31365">
      <w:pPr>
        <w:spacing w:line="360" w:lineRule="auto"/>
        <w:jc w:val="both"/>
        <w:rPr>
          <w:rFonts w:ascii="Arial" w:hAnsi="Arial" w:eastAsia="Arial-BoldMT" w:cs="Arial"/>
          <w:sz w:val="24"/>
          <w:szCs w:val="24"/>
        </w:rPr>
      </w:pPr>
      <w:r>
        <w:rPr>
          <w:rFonts w:ascii="Arial" w:hAnsi="Arial" w:eastAsia="Arial-BoldMT" w:cs="Arial"/>
          <w:sz w:val="24"/>
          <w:szCs w:val="24"/>
        </w:rPr>
        <w:t>Durante o uso operacional, os conjuntos e escrivaninhas serão alocados conforme a demanda específica de cada unidade escolar, otimizando o uso dos espaços e contribuindo para um ambiente de aprendizagem mais confortável, organizado e funcional. A gestão eficiente do mobiliário permitirá que os itens estejam sempre disponíveis em condições adequadas, evitando improvisações e promovendo um ambiente educacional seguro e acolhedor.</w:t>
      </w:r>
    </w:p>
    <w:p w14:paraId="166BC736">
      <w:pPr>
        <w:spacing w:line="360" w:lineRule="auto"/>
        <w:jc w:val="both"/>
        <w:rPr>
          <w:rFonts w:ascii="Arial" w:hAnsi="Arial" w:eastAsia="Arial-BoldMT" w:cs="Arial"/>
          <w:sz w:val="24"/>
          <w:szCs w:val="24"/>
        </w:rPr>
      </w:pPr>
      <w:r>
        <w:rPr>
          <w:rFonts w:ascii="Arial" w:hAnsi="Arial" w:eastAsia="Arial-BoldMT" w:cs="Arial"/>
          <w:sz w:val="24"/>
          <w:szCs w:val="24"/>
        </w:rPr>
        <w:t>Além disso, a solução prevê a substituição ou reposição periódica, quando necessário, assegurando a continuidade do atendimento às necessidades da comunidade escolar. Para isso, será implementado um controle de uso e manutenção preventiva, com planejamento de novas aquisições conforme a demanda e o desgaste natural dos itens.</w:t>
      </w:r>
    </w:p>
    <w:p w14:paraId="3FC61AF7">
      <w:pPr>
        <w:spacing w:line="360" w:lineRule="auto"/>
        <w:jc w:val="both"/>
        <w:rPr>
          <w:rFonts w:ascii="Arial" w:hAnsi="Arial" w:eastAsia="Arial-BoldMT" w:cs="Arial"/>
          <w:sz w:val="24"/>
          <w:szCs w:val="24"/>
        </w:rPr>
      </w:pPr>
      <w:r>
        <w:rPr>
          <w:rFonts w:ascii="Arial" w:hAnsi="Arial" w:eastAsia="Arial-BoldMT" w:cs="Arial"/>
          <w:sz w:val="24"/>
          <w:szCs w:val="24"/>
        </w:rPr>
        <w:t>Por fim, a destinação final dos móveis inservíveis será realizada de forma ambientalmente responsável, seguindo diretrizes de sustentabilidade e descarte consciente. Sempre que possível, serão adotadas práticas ecológicas, como a reutilização de materiais e a destinação para cooperativas ou programas de reciclagem, contribuindo para a educação ambiental dos alunos e para o compromisso institucional com a sustentabilidade.</w:t>
      </w:r>
    </w:p>
    <w:p w14:paraId="2E053FFC">
      <w:pPr>
        <w:spacing w:line="360" w:lineRule="auto"/>
        <w:jc w:val="both"/>
        <w:rPr>
          <w:rFonts w:ascii="Arial" w:hAnsi="Arial" w:eastAsia="Arial-BoldMT" w:cs="Arial"/>
          <w:sz w:val="24"/>
          <w:szCs w:val="24"/>
        </w:rPr>
      </w:pPr>
      <w:r>
        <w:rPr>
          <w:rFonts w:ascii="Arial" w:hAnsi="Arial" w:eastAsia="Arial-BoldMT" w:cs="Arial"/>
          <w:sz w:val="24"/>
          <w:szCs w:val="24"/>
        </w:rPr>
        <w:t>Dessa forma, a solução contempla todas as etapas do processo – desde a aquisição e entrega até o uso, controle, manutenção e descarte – garantindo eficiência, economicidade e responsabilidade socioambiental na aplicação dos recursos públicos, e proporcionando um ambiente escolar mais estruturado, seguro e favorável ao aprendizado e ao desenvolvimento infantil.</w:t>
      </w:r>
    </w:p>
    <w:p w14:paraId="5CE0F249">
      <w:pPr>
        <w:spacing w:line="360" w:lineRule="auto"/>
        <w:jc w:val="both"/>
        <w:rPr>
          <w:rFonts w:ascii="Arial" w:hAnsi="Arial" w:eastAsia="Arial-BoldMT" w:cs="Arial"/>
          <w:b/>
          <w:bCs/>
          <w:sz w:val="24"/>
          <w:szCs w:val="24"/>
        </w:rPr>
      </w:pPr>
    </w:p>
    <w:p w14:paraId="7D8E5A1F">
      <w:pPr>
        <w:spacing w:line="360" w:lineRule="auto"/>
        <w:jc w:val="both"/>
        <w:rPr>
          <w:rFonts w:ascii="Arial" w:hAnsi="Arial" w:eastAsia="Arial-BoldMT" w:cs="Arial"/>
          <w:b/>
          <w:bCs/>
          <w:sz w:val="24"/>
          <w:szCs w:val="24"/>
        </w:rPr>
      </w:pPr>
      <w:r>
        <w:rPr>
          <w:rFonts w:ascii="Arial" w:hAnsi="Arial" w:eastAsia="Arial-BoldMT" w:cs="Arial"/>
          <w:b/>
          <w:bCs/>
          <w:sz w:val="24"/>
          <w:szCs w:val="24"/>
        </w:rPr>
        <w:t>4 - Requisitos da contratação;</w:t>
      </w:r>
    </w:p>
    <w:p w14:paraId="75FD87A8">
      <w:pPr>
        <w:spacing w:line="360" w:lineRule="auto"/>
        <w:jc w:val="both"/>
        <w:rPr>
          <w:rFonts w:ascii="Arial" w:hAnsi="Arial" w:eastAsia="Arial-BoldMT" w:cs="Arial"/>
          <w:b/>
          <w:bCs/>
          <w:sz w:val="24"/>
          <w:szCs w:val="24"/>
        </w:rPr>
      </w:pPr>
    </w:p>
    <w:p w14:paraId="34A8CE6A">
      <w:pPr>
        <w:spacing w:line="360" w:lineRule="auto"/>
        <w:jc w:val="both"/>
        <w:rPr>
          <w:rFonts w:ascii="Arial" w:hAnsi="Arial" w:cs="Arial"/>
          <w:sz w:val="24"/>
          <w:szCs w:val="24"/>
        </w:rPr>
      </w:pPr>
      <w:r>
        <w:rPr>
          <w:rFonts w:ascii="Arial" w:hAnsi="Arial" w:cs="Arial"/>
          <w:sz w:val="24"/>
          <w:szCs w:val="24"/>
        </w:rPr>
        <w:t xml:space="preserve">Requisitos para a Aquisição de Conjuntos Coletivos CJC, </w:t>
      </w:r>
      <w:r>
        <w:rPr>
          <w:rFonts w:ascii="Arial" w:hAnsi="Arial" w:cs="Arial"/>
          <w:sz w:val="24"/>
          <w:szCs w:val="24"/>
          <w:lang w:eastAsia="pt-BR"/>
        </w:rPr>
        <w:t>Conjunto FNDE Refeitório M4C-03</w:t>
      </w:r>
      <w:r>
        <w:rPr>
          <w:rFonts w:ascii="Arial" w:hAnsi="Arial" w:cs="Arial"/>
          <w:sz w:val="24"/>
          <w:szCs w:val="24"/>
        </w:rPr>
        <w:t xml:space="preserve"> e Escrivaninhas de Madeira Industrial:</w:t>
      </w:r>
    </w:p>
    <w:p w14:paraId="4B0378A5">
      <w:pPr>
        <w:spacing w:line="360" w:lineRule="auto"/>
        <w:jc w:val="both"/>
        <w:rPr>
          <w:rFonts w:ascii="Arial" w:hAnsi="Arial" w:cs="Arial"/>
          <w:sz w:val="24"/>
          <w:szCs w:val="24"/>
        </w:rPr>
      </w:pPr>
      <w:r>
        <w:rPr>
          <w:rFonts w:ascii="Arial" w:hAnsi="Arial" w:cs="Arial"/>
          <w:sz w:val="24"/>
          <w:szCs w:val="24"/>
        </w:rPr>
        <w:t>A contratação para a aquisição de conjuntos coletivos CJC, compostos por mesa com 4 cadeiras,</w:t>
      </w:r>
      <w:r>
        <w:rPr>
          <w:rFonts w:ascii="Arial" w:hAnsi="Arial" w:cs="Arial"/>
          <w:sz w:val="24"/>
          <w:szCs w:val="24"/>
          <w:lang w:eastAsia="pt-BR"/>
        </w:rPr>
        <w:t xml:space="preserve"> Conjunto FNDE Refeitório M4C-03</w:t>
      </w:r>
      <w:r>
        <w:rPr>
          <w:rFonts w:ascii="Arial" w:hAnsi="Arial" w:cs="Arial"/>
          <w:sz w:val="24"/>
          <w:szCs w:val="24"/>
        </w:rPr>
        <w:t xml:space="preserve"> e escrivaninhas em madeira industrial, além de atender às determinações especificadas no edital, deverá seguir os critérios descritos a seguir, garantindo a qualidade dos produtos e a conformidade com as exigências legais.</w:t>
      </w:r>
    </w:p>
    <w:p w14:paraId="5F383E5C">
      <w:pPr>
        <w:spacing w:line="360" w:lineRule="auto"/>
        <w:jc w:val="both"/>
        <w:rPr>
          <w:rFonts w:ascii="Arial" w:hAnsi="Arial" w:cs="Arial"/>
          <w:sz w:val="24"/>
          <w:szCs w:val="24"/>
        </w:rPr>
      </w:pPr>
      <w:r>
        <w:rPr>
          <w:rFonts w:ascii="Arial" w:hAnsi="Arial" w:cs="Arial"/>
          <w:sz w:val="24"/>
          <w:szCs w:val="24"/>
        </w:rPr>
        <w:t>4.1. Especificações dos Produtos:</w:t>
      </w:r>
    </w:p>
    <w:p w14:paraId="0BBD4942">
      <w:pPr>
        <w:spacing w:line="360" w:lineRule="auto"/>
        <w:jc w:val="both"/>
        <w:rPr>
          <w:rFonts w:ascii="Arial" w:hAnsi="Arial" w:cs="Arial"/>
          <w:sz w:val="24"/>
          <w:szCs w:val="24"/>
        </w:rPr>
      </w:pPr>
      <w:r>
        <w:rPr>
          <w:rFonts w:ascii="Arial" w:hAnsi="Arial" w:cs="Arial"/>
          <w:sz w:val="24"/>
          <w:szCs w:val="24"/>
        </w:rPr>
        <w:t>4.1.1. Os itens de mobiliário deverão estar de acordo com as normas técnicas regulamentares brasileiras, assegurando conformidade com os padrões de segurança, durabilidade e ergonomia estabelecidos pelos órgãos competentes.</w:t>
      </w:r>
    </w:p>
    <w:p w14:paraId="77B029C9">
      <w:pPr>
        <w:spacing w:line="360" w:lineRule="auto"/>
        <w:jc w:val="both"/>
        <w:rPr>
          <w:rFonts w:ascii="Arial" w:hAnsi="Arial" w:cs="Arial"/>
          <w:sz w:val="24"/>
          <w:szCs w:val="24"/>
        </w:rPr>
      </w:pPr>
      <w:r>
        <w:rPr>
          <w:rFonts w:ascii="Arial" w:hAnsi="Arial" w:cs="Arial"/>
          <w:sz w:val="24"/>
          <w:szCs w:val="24"/>
        </w:rPr>
        <w:t>4.1.2. Todos os produtos fornecidos deverão ser novos, em perfeito estado de conservação, livres de qualquer defeito que possa comprometer sua funcionalidade, estabilidade ou segurança no uso escolar.</w:t>
      </w:r>
    </w:p>
    <w:p w14:paraId="3C4008CB">
      <w:pPr>
        <w:spacing w:line="360" w:lineRule="auto"/>
        <w:jc w:val="both"/>
        <w:rPr>
          <w:rFonts w:ascii="Arial" w:hAnsi="Arial" w:cs="Arial"/>
          <w:sz w:val="24"/>
          <w:szCs w:val="24"/>
        </w:rPr>
      </w:pPr>
      <w:r>
        <w:rPr>
          <w:rFonts w:ascii="Arial" w:hAnsi="Arial" w:cs="Arial"/>
          <w:sz w:val="24"/>
          <w:szCs w:val="24"/>
        </w:rPr>
        <w:t>4.1.3. Os itens deverão possuir garantia mínima de 12 (doze) meses contra defeitos de fabricação, assegurando sua substituição ou reparo sem custos adicionais, caso apresentem falhas durante o período.</w:t>
      </w:r>
    </w:p>
    <w:p w14:paraId="7F9E287D">
      <w:pPr>
        <w:spacing w:line="360" w:lineRule="auto"/>
        <w:jc w:val="both"/>
        <w:rPr>
          <w:rFonts w:ascii="Arial" w:hAnsi="Arial" w:cs="Arial"/>
          <w:sz w:val="24"/>
          <w:szCs w:val="24"/>
        </w:rPr>
      </w:pPr>
      <w:r>
        <w:rPr>
          <w:rFonts w:ascii="Arial" w:hAnsi="Arial" w:cs="Arial"/>
          <w:sz w:val="24"/>
          <w:szCs w:val="24"/>
        </w:rPr>
        <w:t>4.2. Requisitos para a Empresa Contratada:</w:t>
      </w:r>
    </w:p>
    <w:p w14:paraId="71842DF5">
      <w:pPr>
        <w:spacing w:line="360" w:lineRule="auto"/>
        <w:jc w:val="both"/>
        <w:rPr>
          <w:rFonts w:ascii="Arial" w:hAnsi="Arial" w:cs="Arial"/>
          <w:sz w:val="24"/>
          <w:szCs w:val="24"/>
        </w:rPr>
      </w:pPr>
      <w:r>
        <w:rPr>
          <w:rFonts w:ascii="Arial" w:hAnsi="Arial" w:cs="Arial"/>
          <w:sz w:val="24"/>
          <w:szCs w:val="24"/>
        </w:rPr>
        <w:t>Além de atender às exigências relativas ao fornecimento dos mobiliários, a empresa contratada deverá apresentar, de forma regular, a seguinte documentação de habilitação:</w:t>
      </w:r>
    </w:p>
    <w:p w14:paraId="76E3F53B">
      <w:pPr>
        <w:spacing w:line="360" w:lineRule="auto"/>
        <w:jc w:val="both"/>
        <w:rPr>
          <w:rFonts w:ascii="Arial" w:hAnsi="Arial" w:cs="Arial"/>
          <w:sz w:val="24"/>
          <w:szCs w:val="24"/>
        </w:rPr>
      </w:pPr>
      <w:r>
        <w:rPr>
          <w:rFonts w:ascii="Arial" w:hAnsi="Arial" w:cs="Arial"/>
          <w:sz w:val="24"/>
          <w:szCs w:val="24"/>
        </w:rPr>
        <w:t>4.2.1. Comprovação Jurídica e Fiscal:</w:t>
      </w:r>
    </w:p>
    <w:p w14:paraId="2243C18F">
      <w:pPr>
        <w:spacing w:line="360" w:lineRule="auto"/>
        <w:jc w:val="both"/>
        <w:rPr>
          <w:rFonts w:ascii="Arial" w:hAnsi="Arial" w:cs="Arial"/>
          <w:sz w:val="24"/>
          <w:szCs w:val="24"/>
        </w:rPr>
      </w:pPr>
      <w:r>
        <w:rPr>
          <w:rFonts w:ascii="Arial" w:hAnsi="Arial" w:cs="Arial"/>
          <w:sz w:val="24"/>
          <w:szCs w:val="24"/>
        </w:rPr>
        <w:t>4.2.2. Contrato social ou documento equivalente que comprove a regularidade e capacidade jurídica da empresa fornecedora.</w:t>
      </w:r>
    </w:p>
    <w:p w14:paraId="1C655ECC">
      <w:pPr>
        <w:spacing w:line="360" w:lineRule="auto"/>
        <w:jc w:val="both"/>
        <w:rPr>
          <w:rFonts w:ascii="Arial" w:hAnsi="Arial" w:cs="Arial"/>
          <w:sz w:val="24"/>
          <w:szCs w:val="24"/>
        </w:rPr>
      </w:pPr>
      <w:r>
        <w:rPr>
          <w:rFonts w:ascii="Arial" w:hAnsi="Arial" w:cs="Arial"/>
          <w:sz w:val="24"/>
          <w:szCs w:val="24"/>
        </w:rPr>
        <w:t>4.2.3. Certidões negativas de débito que atestem a regularidade fiscal, previdenciária, trabalhista e perante órgãos públicos.</w:t>
      </w:r>
    </w:p>
    <w:p w14:paraId="77F27566">
      <w:pPr>
        <w:spacing w:line="360" w:lineRule="auto"/>
        <w:jc w:val="both"/>
        <w:rPr>
          <w:rFonts w:ascii="Arial" w:hAnsi="Arial" w:cs="Arial"/>
          <w:sz w:val="24"/>
          <w:szCs w:val="24"/>
        </w:rPr>
      </w:pPr>
      <w:r>
        <w:rPr>
          <w:rFonts w:ascii="Arial" w:hAnsi="Arial" w:cs="Arial"/>
          <w:sz w:val="24"/>
          <w:szCs w:val="24"/>
        </w:rPr>
        <w:t>4.3. Declarações Obrigatórias:</w:t>
      </w:r>
    </w:p>
    <w:p w14:paraId="2B8EBA39">
      <w:pPr>
        <w:spacing w:line="360" w:lineRule="auto"/>
        <w:jc w:val="both"/>
        <w:rPr>
          <w:rFonts w:ascii="Arial" w:hAnsi="Arial" w:cs="Arial"/>
          <w:sz w:val="24"/>
          <w:szCs w:val="24"/>
        </w:rPr>
      </w:pPr>
      <w:r>
        <w:rPr>
          <w:rFonts w:ascii="Arial" w:hAnsi="Arial" w:cs="Arial"/>
          <w:sz w:val="24"/>
          <w:szCs w:val="24"/>
        </w:rPr>
        <w:t>4.3.1. Declaração de que a empresa não se encontra impedida de contratar com a Administração Pública, conforme o art. 14 da Lei Federal nº 14.133/2021.</w:t>
      </w:r>
    </w:p>
    <w:p w14:paraId="1D8AF367">
      <w:pPr>
        <w:spacing w:line="360" w:lineRule="auto"/>
        <w:jc w:val="both"/>
        <w:rPr>
          <w:rFonts w:ascii="Arial" w:hAnsi="Arial" w:cs="Arial"/>
          <w:sz w:val="24"/>
          <w:szCs w:val="24"/>
        </w:rPr>
      </w:pPr>
      <w:r>
        <w:rPr>
          <w:rFonts w:ascii="Arial" w:hAnsi="Arial" w:cs="Arial"/>
          <w:sz w:val="24"/>
          <w:szCs w:val="24"/>
        </w:rPr>
        <w:t>4.3.2. Declaração de cumprimento das exigências legais referentes à reserva de cargos para pessoas com deficiência e reabilitados da Previdência Social.</w:t>
      </w:r>
    </w:p>
    <w:p w14:paraId="76A86FF6">
      <w:pPr>
        <w:spacing w:line="360" w:lineRule="auto"/>
        <w:jc w:val="both"/>
        <w:rPr>
          <w:rFonts w:ascii="Arial" w:hAnsi="Arial" w:cs="Arial"/>
          <w:sz w:val="24"/>
          <w:szCs w:val="24"/>
        </w:rPr>
      </w:pPr>
      <w:r>
        <w:rPr>
          <w:rFonts w:ascii="Arial" w:hAnsi="Arial" w:cs="Arial"/>
          <w:sz w:val="24"/>
          <w:szCs w:val="24"/>
        </w:rPr>
        <w:t>4.3.3. Declaração de atendimento ao disposto no inciso XXXIII do artigo 7º da Constituição Federal, garantindo que não há exploração de trabalho infantil ou de menores em condições proibidas por lei.</w:t>
      </w:r>
    </w:p>
    <w:p w14:paraId="36DC1D64">
      <w:pPr>
        <w:spacing w:line="360" w:lineRule="auto"/>
        <w:jc w:val="both"/>
        <w:rPr>
          <w:rFonts w:ascii="Arial" w:hAnsi="Arial" w:cs="Arial"/>
          <w:sz w:val="24"/>
          <w:szCs w:val="24"/>
        </w:rPr>
      </w:pPr>
      <w:r>
        <w:rPr>
          <w:rFonts w:ascii="Arial" w:hAnsi="Arial" w:cs="Arial"/>
          <w:sz w:val="24"/>
          <w:szCs w:val="24"/>
        </w:rPr>
        <w:t>4.3.4. Compromisso formal de que qualquer fato superveniente que possa alterar a situação cadastral da empresa será comunicado imediatamente aos órgãos competentes.</w:t>
      </w:r>
    </w:p>
    <w:p w14:paraId="356043E5">
      <w:pPr>
        <w:spacing w:line="360" w:lineRule="auto"/>
        <w:jc w:val="both"/>
        <w:rPr>
          <w:rFonts w:ascii="Arial" w:hAnsi="Arial" w:cs="Arial"/>
          <w:sz w:val="24"/>
          <w:szCs w:val="24"/>
        </w:rPr>
      </w:pPr>
      <w:r>
        <w:rPr>
          <w:rFonts w:ascii="Arial" w:hAnsi="Arial" w:cs="Arial"/>
          <w:sz w:val="24"/>
          <w:szCs w:val="24"/>
        </w:rPr>
        <w:t>4.3.5. Confirmação de que a empresa tomou conhecimento de todas as informações e condições locais essenciais para o cumprimento integral das obrigações contratuais.</w:t>
      </w:r>
    </w:p>
    <w:p w14:paraId="4919755E">
      <w:pPr>
        <w:spacing w:line="360" w:lineRule="auto"/>
        <w:jc w:val="both"/>
        <w:rPr>
          <w:rFonts w:ascii="Arial" w:hAnsi="Arial" w:cs="Arial"/>
          <w:sz w:val="24"/>
          <w:szCs w:val="24"/>
        </w:rPr>
      </w:pPr>
      <w:r>
        <w:rPr>
          <w:rFonts w:ascii="Arial" w:hAnsi="Arial" w:cs="Arial"/>
          <w:sz w:val="24"/>
          <w:szCs w:val="24"/>
        </w:rPr>
        <w:t>4.3.6. A empresa que ofertar o menor valor deverá apresentar amostra dos produtos em até 03 (três) dias útis após a notificação feita pelo Departamento Competente, caso as marcas apresentadas não sejam as previamente sugeridas, sob pena de desclassificação da proposta.</w:t>
      </w:r>
    </w:p>
    <w:p w14:paraId="70B8746E">
      <w:pPr>
        <w:spacing w:line="360" w:lineRule="auto"/>
        <w:jc w:val="both"/>
        <w:rPr>
          <w:rFonts w:ascii="Arial" w:hAnsi="Arial" w:cs="Arial"/>
          <w:sz w:val="24"/>
          <w:szCs w:val="24"/>
        </w:rPr>
      </w:pPr>
      <w:r>
        <w:rPr>
          <w:rFonts w:ascii="Arial" w:hAnsi="Arial" w:cs="Arial"/>
          <w:sz w:val="24"/>
          <w:szCs w:val="24"/>
        </w:rPr>
        <w:t>Esses requisitos asseguram que a aquisição dos conjuntos de mobiliário ocorra com qualidade, conformidade legal e transparência, promovendo a eficiência da gestão pública e a melhoria do ambiente educacional nas instituições de ensino beneficiadas.</w:t>
      </w:r>
    </w:p>
    <w:p w14:paraId="2BB28F1A">
      <w:pPr>
        <w:spacing w:line="360" w:lineRule="auto"/>
        <w:jc w:val="both"/>
        <w:rPr>
          <w:rFonts w:ascii="Arial" w:hAnsi="Arial" w:cs="Arial"/>
          <w:sz w:val="24"/>
          <w:szCs w:val="24"/>
        </w:rPr>
      </w:pPr>
    </w:p>
    <w:p w14:paraId="686803FC">
      <w:pPr>
        <w:spacing w:line="360" w:lineRule="auto"/>
        <w:jc w:val="both"/>
        <w:rPr>
          <w:rFonts w:ascii="Arial" w:hAnsi="Arial" w:cs="Arial"/>
          <w:b/>
          <w:bCs/>
          <w:sz w:val="24"/>
          <w:szCs w:val="24"/>
        </w:rPr>
      </w:pPr>
      <w:r>
        <w:rPr>
          <w:rFonts w:ascii="Arial" w:hAnsi="Arial" w:cs="Arial"/>
          <w:b/>
          <w:bCs/>
          <w:sz w:val="24"/>
          <w:szCs w:val="24"/>
        </w:rPr>
        <w:t>5 – Modelo de execução do objeto, que consiste na definição de como o contrato deverá produzir os resultados pretendidos desde o seu início até o seu encerramento;</w:t>
      </w:r>
    </w:p>
    <w:p w14:paraId="1B7FEDBB">
      <w:pPr>
        <w:spacing w:line="360" w:lineRule="auto"/>
        <w:jc w:val="both"/>
        <w:rPr>
          <w:rFonts w:ascii="Arial" w:hAnsi="Arial" w:cs="Arial"/>
          <w:sz w:val="24"/>
          <w:szCs w:val="24"/>
        </w:rPr>
      </w:pPr>
    </w:p>
    <w:p w14:paraId="2DF64768">
      <w:pPr>
        <w:spacing w:line="360" w:lineRule="auto"/>
        <w:ind w:hanging="142"/>
        <w:jc w:val="both"/>
        <w:rPr>
          <w:rFonts w:ascii="Arial" w:hAnsi="Arial" w:eastAsia="Arial-BoldMT" w:cs="Arial"/>
          <w:sz w:val="24"/>
          <w:szCs w:val="24"/>
        </w:rPr>
      </w:pPr>
      <w:r>
        <w:rPr>
          <w:rFonts w:ascii="Arial" w:hAnsi="Arial" w:eastAsia="Arial-BoldMT" w:cs="Arial"/>
          <w:sz w:val="24"/>
          <w:szCs w:val="24"/>
        </w:rPr>
        <w:t xml:space="preserve">Modelo de Execução do Objeto - Aquisição de Conjuntos Coletivos CJC, </w:t>
      </w:r>
      <w:r>
        <w:rPr>
          <w:rFonts w:ascii="Arial" w:hAnsi="Arial" w:cs="Arial"/>
          <w:sz w:val="24"/>
          <w:szCs w:val="24"/>
          <w:lang w:eastAsia="pt-BR"/>
        </w:rPr>
        <w:t>Conjunto FNDE Refeitório M4C-03</w:t>
      </w:r>
      <w:r>
        <w:rPr>
          <w:rFonts w:ascii="Arial" w:hAnsi="Arial" w:eastAsia="Arial-BoldMT" w:cs="Arial"/>
          <w:sz w:val="24"/>
          <w:szCs w:val="24"/>
        </w:rPr>
        <w:t xml:space="preserve"> e Escrivaninhas de Madeira Industrial. O presente contrato tem como objeto a aquisição de conjuntos coletivos CJC, compostos por mesa com 4 cadeiras, </w:t>
      </w:r>
      <w:r>
        <w:rPr>
          <w:rFonts w:ascii="Arial" w:hAnsi="Arial" w:cs="Arial"/>
          <w:sz w:val="24"/>
          <w:szCs w:val="24"/>
          <w:lang w:eastAsia="pt-BR"/>
        </w:rPr>
        <w:t>Conjunto FNDE Refeitório M4C-03</w:t>
      </w:r>
      <w:r>
        <w:rPr>
          <w:rFonts w:ascii="Arial" w:hAnsi="Arial" w:eastAsia="Arial-BoldMT" w:cs="Arial"/>
          <w:sz w:val="24"/>
          <w:szCs w:val="24"/>
        </w:rPr>
        <w:t xml:space="preserve"> e escrivaninhas para estudos em madeira industrial, visando equipar de forma adequada e segura as unidades escolares, promovendo um ambiente funcional e propício ao aprendizado.</w:t>
      </w:r>
    </w:p>
    <w:p w14:paraId="5C1E1D9F">
      <w:pPr>
        <w:spacing w:line="360" w:lineRule="auto"/>
        <w:jc w:val="both"/>
        <w:rPr>
          <w:rFonts w:ascii="Arial" w:hAnsi="Arial" w:eastAsia="Arial-BoldMT" w:cs="Arial"/>
          <w:sz w:val="24"/>
          <w:szCs w:val="24"/>
        </w:rPr>
      </w:pPr>
      <w:r>
        <w:rPr>
          <w:rFonts w:ascii="Arial" w:hAnsi="Arial" w:eastAsia="Arial-BoldMT" w:cs="Arial"/>
          <w:sz w:val="24"/>
          <w:szCs w:val="24"/>
        </w:rPr>
        <w:t>A validade da Ata de Registro de Preços (ARP) será de 12 (doze) meses, podendo ser prorrogada por igual período, conforme disposto no art. 84 da Lei Federal nº 14.133/2021.</w:t>
      </w:r>
    </w:p>
    <w:p w14:paraId="0A63497C">
      <w:pPr>
        <w:spacing w:line="360" w:lineRule="auto"/>
        <w:jc w:val="both"/>
        <w:rPr>
          <w:rFonts w:ascii="Arial" w:hAnsi="Arial" w:eastAsia="Arial-BoldMT" w:cs="Arial"/>
          <w:sz w:val="24"/>
          <w:szCs w:val="24"/>
        </w:rPr>
      </w:pPr>
      <w:r>
        <w:rPr>
          <w:rFonts w:ascii="Arial" w:hAnsi="Arial" w:eastAsia="Arial-BoldMT" w:cs="Arial"/>
          <w:sz w:val="24"/>
          <w:szCs w:val="24"/>
        </w:rPr>
        <w:t>O prazo de entrega dos materiais será de até 15 (quinze) dias úteis após a emissão da Autorização de Fornecimento pela Administração Pública. Os itens deverão ser entregues lacrados, em suas embalagens originais, devidamente identificadas e em perfeito estado de conservação, em caso de montagem de itens será de total responsabilidade do fornecedor arcar com montagem, com prazo de até 10 (dez) dias.</w:t>
      </w:r>
    </w:p>
    <w:p w14:paraId="1E06E308">
      <w:pPr>
        <w:spacing w:line="360" w:lineRule="auto"/>
        <w:jc w:val="both"/>
        <w:rPr>
          <w:rFonts w:ascii="Arial" w:hAnsi="Arial" w:eastAsia="Arial-BoldMT" w:cs="Arial"/>
          <w:sz w:val="24"/>
          <w:szCs w:val="24"/>
        </w:rPr>
      </w:pPr>
      <w:r>
        <w:rPr>
          <w:rFonts w:ascii="Arial" w:hAnsi="Arial" w:eastAsia="Arial-BoldMT" w:cs="Arial"/>
          <w:sz w:val="24"/>
          <w:szCs w:val="24"/>
        </w:rPr>
        <w:t>Antes do aceite definitivo, os produtos serão rigorosamente inspecionados para verificação da conformidade com as especificações técnicas estabelecidas no Termo de Referência. O fornecedor deverá garantir que os mobiliários sejam novos, sem uso anterior, e adequadamente armazenados até o momento da entrega.</w:t>
      </w:r>
    </w:p>
    <w:p w14:paraId="09405A3D">
      <w:pPr>
        <w:spacing w:line="360" w:lineRule="auto"/>
        <w:jc w:val="both"/>
        <w:rPr>
          <w:rFonts w:ascii="Arial" w:hAnsi="Arial" w:eastAsia="Arial-BoldMT" w:cs="Arial"/>
          <w:sz w:val="24"/>
          <w:szCs w:val="24"/>
        </w:rPr>
      </w:pPr>
      <w:r>
        <w:rPr>
          <w:rFonts w:ascii="Arial" w:hAnsi="Arial" w:eastAsia="Arial-BoldMT" w:cs="Arial"/>
          <w:sz w:val="24"/>
          <w:szCs w:val="24"/>
        </w:rPr>
        <w:t>Em caso de avarias, defeitos de fabricação ou inconformidades, os itens deverão ser substituídos sem custo adicional para a Administração, dentro do prazo estabelecido em contrato. O fornecedor deverá também atender a eventuais solicitações de trocas durante o período de garantia.</w:t>
      </w:r>
    </w:p>
    <w:p w14:paraId="70FA2A90">
      <w:pPr>
        <w:spacing w:line="360" w:lineRule="auto"/>
        <w:ind w:hanging="142"/>
        <w:jc w:val="both"/>
        <w:rPr>
          <w:rFonts w:ascii="Arial" w:hAnsi="Arial" w:eastAsia="Arial-BoldMT" w:cs="Arial"/>
          <w:sz w:val="24"/>
          <w:szCs w:val="24"/>
        </w:rPr>
      </w:pPr>
    </w:p>
    <w:p w14:paraId="057BDDAB">
      <w:pPr>
        <w:spacing w:before="60" w:after="60" w:line="360" w:lineRule="auto"/>
        <w:jc w:val="both"/>
        <w:rPr>
          <w:rFonts w:ascii="Arial" w:hAnsi="Arial" w:cs="Arial"/>
        </w:rPr>
      </w:pPr>
      <w:r>
        <w:rPr>
          <w:rFonts w:ascii="Arial" w:hAnsi="Arial" w:eastAsia="Arial-BoldMT" w:cs="Arial"/>
          <w:sz w:val="24"/>
          <w:szCs w:val="24"/>
        </w:rPr>
        <w:t xml:space="preserve">A entrega do item </w:t>
      </w:r>
      <w:r>
        <w:rPr>
          <w:rFonts w:ascii="Arial" w:hAnsi="Arial" w:eastAsia="Arial-BoldMT" w:cs="Arial"/>
          <w:b/>
          <w:bCs/>
          <w:sz w:val="24"/>
          <w:szCs w:val="24"/>
        </w:rPr>
        <w:t xml:space="preserve">2 e 3 </w:t>
      </w:r>
      <w:r>
        <w:rPr>
          <w:rFonts w:ascii="Arial" w:hAnsi="Arial" w:cs="Arial"/>
          <w:b/>
          <w:bCs/>
          <w:color w:val="000000"/>
          <w:sz w:val="24"/>
          <w:szCs w:val="24"/>
          <w:lang w:eastAsia="pt-BR"/>
        </w:rPr>
        <w:t>Escrivaninha para estudos em madeira industrial</w:t>
      </w:r>
      <w:r>
        <w:rPr>
          <w:rFonts w:ascii="Arial" w:hAnsi="Arial" w:eastAsia="Arial-BoldMT" w:cs="Arial"/>
          <w:sz w:val="24"/>
          <w:szCs w:val="24"/>
        </w:rPr>
        <w:t xml:space="preserve"> </w:t>
      </w:r>
      <w:r>
        <w:rPr>
          <w:rFonts w:ascii="Arial" w:hAnsi="Arial" w:eastAsia="Arial-BoldMT" w:cs="Arial"/>
          <w:b/>
          <w:bCs/>
          <w:sz w:val="24"/>
          <w:szCs w:val="24"/>
        </w:rPr>
        <w:t xml:space="preserve">e </w:t>
      </w:r>
      <w:r>
        <w:rPr>
          <w:rFonts w:ascii="Arial" w:hAnsi="Arial" w:cs="Arial"/>
          <w:b/>
          <w:bCs/>
          <w:sz w:val="24"/>
          <w:szCs w:val="24"/>
          <w:lang w:eastAsia="pt-BR"/>
        </w:rPr>
        <w:t>Conjunto FNDE Refeitório M4C-03</w:t>
      </w:r>
      <w:r>
        <w:rPr>
          <w:rFonts w:ascii="Arial" w:hAnsi="Arial" w:cs="Arial"/>
          <w:b/>
          <w:bCs/>
          <w:color w:val="000000"/>
          <w:sz w:val="24"/>
          <w:szCs w:val="24"/>
          <w:lang w:eastAsia="pt-BR"/>
        </w:rPr>
        <w:t>,</w:t>
      </w:r>
      <w:r>
        <w:rPr>
          <w:rFonts w:ascii="Arial" w:hAnsi="Arial" w:eastAsia="Arial-BoldMT" w:cs="Arial"/>
          <w:sz w:val="24"/>
          <w:szCs w:val="24"/>
        </w:rPr>
        <w:t xml:space="preserve"> deverão ocorrer na EMEB João Etchebehere, Endereço: Rua Barão de Rifaina - SP, n° 390, Centro, Telefone: 16 3135-1211, no horário das 07h00 às 16h00, em dias úteis (de segunda a sexta-feira). No que desrespeito ao </w:t>
      </w:r>
      <w:r>
        <w:rPr>
          <w:rFonts w:ascii="Arial" w:hAnsi="Arial" w:eastAsia="Arial-BoldMT" w:cs="Arial"/>
          <w:b/>
          <w:bCs/>
          <w:sz w:val="24"/>
          <w:szCs w:val="24"/>
        </w:rPr>
        <w:t xml:space="preserve">item </w:t>
      </w:r>
      <w:r>
        <w:rPr>
          <w:rFonts w:ascii="Arial" w:hAnsi="Arial" w:eastAsia="Arial-BoldMT" w:cs="Arial"/>
          <w:b/>
          <w:bCs/>
          <w:color w:val="000000" w:themeColor="text1"/>
          <w:sz w:val="24"/>
          <w:szCs w:val="24"/>
          <w14:textFill>
            <w14:solidFill>
              <w14:schemeClr w14:val="tx1"/>
            </w14:solidFill>
          </w14:textFill>
        </w:rPr>
        <w:t>1</w:t>
      </w:r>
      <w:r>
        <w:rPr>
          <w:rFonts w:ascii="Arial" w:hAnsi="Arial" w:cs="Arial"/>
        </w:rPr>
        <w:t xml:space="preserve"> </w:t>
      </w:r>
      <w:r>
        <w:rPr>
          <w:rFonts w:ascii="Arial" w:hAnsi="Arial" w:cs="Arial"/>
          <w:b/>
          <w:bCs/>
        </w:rPr>
        <w:t>CONJUNTO COLETIVO CJC 01 MESA COM 4CADEIRAS</w:t>
      </w:r>
      <w:r>
        <w:rPr>
          <w:rFonts w:ascii="Arial" w:hAnsi="Arial" w:cs="Arial"/>
        </w:rPr>
        <w:t xml:space="preserve"> </w:t>
      </w:r>
      <w:r>
        <w:rPr>
          <w:rFonts w:ascii="Arial" w:hAnsi="Arial" w:eastAsia="Arial-BoldMT" w:cs="Arial"/>
          <w:sz w:val="24"/>
          <w:szCs w:val="24"/>
        </w:rPr>
        <w:t>a entrega ocorrera na creche Escola Rosinéia Marcelino</w:t>
      </w:r>
      <w:r>
        <w:rPr>
          <w:rFonts w:ascii="Arial" w:hAnsi="Arial" w:eastAsia="Arial-BoldMT" w:cs="Arial"/>
          <w:sz w:val="22"/>
          <w:szCs w:val="22"/>
        </w:rPr>
        <w:t xml:space="preserve"> </w:t>
      </w:r>
      <w:r>
        <w:rPr>
          <w:rFonts w:ascii="Arial" w:hAnsi="Arial" w:eastAsia="Arial-BoldMT" w:cs="Arial"/>
          <w:sz w:val="24"/>
          <w:szCs w:val="24"/>
        </w:rPr>
        <w:t>Lourenço, Endereço: Rua Padre César Gardini, n° 43, Centro, no horário das 07h00 às 16h00, em dias úteis (de segunda a sexta-feira). Telefone: 16 3135-1104.</w:t>
      </w:r>
    </w:p>
    <w:p w14:paraId="2483C6F2">
      <w:pPr>
        <w:spacing w:line="360" w:lineRule="auto"/>
        <w:ind w:hanging="142"/>
        <w:rPr>
          <w:rFonts w:ascii="Arial" w:hAnsi="Arial" w:eastAsia="Arial-BoldMT" w:cs="Arial"/>
          <w:sz w:val="24"/>
          <w:szCs w:val="24"/>
        </w:rPr>
      </w:pPr>
    </w:p>
    <w:p w14:paraId="65DCE6C9">
      <w:pPr>
        <w:spacing w:line="360" w:lineRule="auto"/>
        <w:ind w:hanging="142"/>
        <w:jc w:val="both"/>
        <w:rPr>
          <w:rFonts w:ascii="Arial" w:hAnsi="Arial" w:eastAsia="Arial-BoldMT" w:cs="Arial"/>
          <w:b/>
          <w:bCs/>
          <w:sz w:val="24"/>
          <w:szCs w:val="24"/>
        </w:rPr>
      </w:pPr>
      <w:r>
        <w:rPr>
          <w:rFonts w:ascii="Arial" w:hAnsi="Arial" w:eastAsia="Arial-BoldMT" w:cs="Arial"/>
          <w:b/>
          <w:bCs/>
          <w:color w:val="FF0000"/>
          <w:sz w:val="24"/>
          <w:szCs w:val="24"/>
        </w:rPr>
        <w:t xml:space="preserve"> </w:t>
      </w:r>
      <w:r>
        <w:rPr>
          <w:rFonts w:ascii="Arial" w:hAnsi="Arial" w:eastAsia="Arial-BoldMT" w:cs="Arial"/>
          <w:b/>
          <w:bCs/>
          <w:color w:val="000000" w:themeColor="text1"/>
          <w:sz w:val="24"/>
          <w:szCs w:val="24"/>
          <w14:textFill>
            <w14:solidFill>
              <w14:schemeClr w14:val="tx1"/>
            </w14:solidFill>
          </w14:textFill>
        </w:rPr>
        <w:t xml:space="preserve"> 6- Modelo de gestão do contrato, </w:t>
      </w:r>
      <w:r>
        <w:rPr>
          <w:rFonts w:ascii="Arial" w:hAnsi="Arial" w:eastAsia="Arial-BoldMT" w:cs="Arial"/>
          <w:b/>
          <w:bCs/>
          <w:sz w:val="24"/>
          <w:szCs w:val="24"/>
        </w:rPr>
        <w:t>que descreve como a execução do objeto será acompanhada e fiscalizada pelo órgão ou entidade;</w:t>
      </w:r>
    </w:p>
    <w:p w14:paraId="61B445F0">
      <w:pPr>
        <w:spacing w:line="360" w:lineRule="auto"/>
        <w:ind w:hanging="142"/>
        <w:jc w:val="both"/>
        <w:rPr>
          <w:rFonts w:ascii="Arial" w:hAnsi="Arial" w:eastAsia="Arial-BoldMT" w:cs="Arial"/>
          <w:b/>
          <w:bCs/>
          <w:sz w:val="24"/>
          <w:szCs w:val="24"/>
        </w:rPr>
      </w:pPr>
    </w:p>
    <w:p w14:paraId="5395DB14">
      <w:pPr>
        <w:spacing w:line="360" w:lineRule="auto"/>
        <w:jc w:val="both"/>
        <w:rPr>
          <w:rFonts w:ascii="Arial" w:hAnsi="Arial" w:eastAsia="Arial-BoldMT" w:cs="Arial"/>
          <w:sz w:val="24"/>
          <w:szCs w:val="24"/>
        </w:rPr>
      </w:pPr>
      <w:r>
        <w:rPr>
          <w:rFonts w:ascii="Arial" w:hAnsi="Arial" w:eastAsia="Arial-BoldMT" w:cs="Arial"/>
          <w:sz w:val="24"/>
          <w:szCs w:val="24"/>
        </w:rPr>
        <w:t xml:space="preserve">O contrato deverá ser fielmente executado pelas partes, de acordo com as cláusulas avençadas e as normas da Lei nº 14.133/2021, e as partes responderão pelas consequências de sua inexecução total ou parcial. </w:t>
      </w:r>
    </w:p>
    <w:p w14:paraId="4DE4A561">
      <w:pPr>
        <w:spacing w:line="360" w:lineRule="auto"/>
        <w:jc w:val="both"/>
        <w:rPr>
          <w:rFonts w:ascii="Arial" w:hAnsi="Arial" w:eastAsia="Arial-BoldMT" w:cs="Arial"/>
          <w:sz w:val="24"/>
          <w:szCs w:val="24"/>
        </w:rPr>
      </w:pPr>
      <w:r>
        <w:rPr>
          <w:rFonts w:ascii="Arial" w:hAnsi="Arial" w:eastAsia="Arial-BoldMT" w:cs="Arial"/>
          <w:sz w:val="24"/>
          <w:szCs w:val="24"/>
        </w:rPr>
        <w:t>A execução do contrato será acompanhada pelo fiscal ou por substituto designado pelo mesmo, Sr. Breno Henrique Souza Cintra, CPF: 405.042.088-35.</w:t>
      </w:r>
    </w:p>
    <w:p w14:paraId="30C75C60">
      <w:pPr>
        <w:spacing w:line="360" w:lineRule="auto"/>
        <w:jc w:val="both"/>
        <w:rPr>
          <w:rFonts w:ascii="Arial" w:hAnsi="Arial" w:eastAsia="Arial-BoldMT" w:cs="Arial"/>
          <w:sz w:val="24"/>
          <w:szCs w:val="24"/>
        </w:rPr>
      </w:pPr>
      <w:r>
        <w:rPr>
          <w:rFonts w:ascii="Arial" w:hAnsi="Arial" w:eastAsia="Arial-BoldMT" w:cs="Arial"/>
          <w:sz w:val="24"/>
          <w:szCs w:val="24"/>
        </w:rPr>
        <w:t xml:space="preserve">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p>
    <w:p w14:paraId="025C33BD">
      <w:pPr>
        <w:spacing w:line="360" w:lineRule="auto"/>
        <w:jc w:val="both"/>
        <w:rPr>
          <w:rFonts w:ascii="Arial" w:hAnsi="Arial" w:eastAsia="Arial-BoldMT" w:cs="Arial"/>
          <w:sz w:val="24"/>
          <w:szCs w:val="24"/>
        </w:rPr>
      </w:pPr>
      <w:r>
        <w:rPr>
          <w:rFonts w:ascii="Arial" w:hAnsi="Arial" w:eastAsia="Arial-BoldMT" w:cs="Arial"/>
          <w:sz w:val="24"/>
          <w:szCs w:val="24"/>
        </w:rPr>
        <w:t xml:space="preserve">O contratado fica obrigado a corrigir, reparar, remover, ou substituir, as suas expensas, no total ou em parte, o objeto do contrato em que se verificarem vícios, defeitos ou incorreções resultantes de sua execução ou de materiais/equipamentos nela empregados. </w:t>
      </w:r>
    </w:p>
    <w:p w14:paraId="6F7AB699">
      <w:pPr>
        <w:spacing w:line="360" w:lineRule="auto"/>
        <w:jc w:val="both"/>
        <w:rPr>
          <w:rFonts w:ascii="Arial" w:hAnsi="Arial" w:eastAsia="Arial-BoldMT" w:cs="Arial"/>
          <w:sz w:val="24"/>
          <w:szCs w:val="24"/>
        </w:rPr>
      </w:pPr>
      <w:r>
        <w:rPr>
          <w:rFonts w:ascii="Arial" w:hAnsi="Arial" w:eastAsia="Arial-BoldMT" w:cs="Arial"/>
          <w:sz w:val="24"/>
          <w:szCs w:val="24"/>
        </w:rPr>
        <w:t xml:space="preserve">O contratado também fica responsável pelos danos causados diretamente à administração ou a terceiros, em razão da execução do contrato. </w:t>
      </w:r>
    </w:p>
    <w:p w14:paraId="46E0EFDD">
      <w:pPr>
        <w:spacing w:line="360" w:lineRule="auto"/>
        <w:jc w:val="both"/>
        <w:rPr>
          <w:rFonts w:ascii="Arial" w:hAnsi="Arial" w:eastAsia="Arial-BoldMT" w:cs="Arial"/>
          <w:sz w:val="24"/>
          <w:szCs w:val="24"/>
        </w:rPr>
      </w:pPr>
      <w:r>
        <w:rPr>
          <w:rFonts w:ascii="Arial" w:hAnsi="Arial" w:eastAsia="Arial-BoldMT" w:cs="Arial"/>
          <w:sz w:val="24"/>
          <w:szCs w:val="24"/>
        </w:rPr>
        <w:t>Somente o contratado será responsável pelos encargos trabalhistas, previdenciários, fiscais e comerciais resultantes da execução do contrato.</w:t>
      </w:r>
    </w:p>
    <w:p w14:paraId="4A756452">
      <w:pPr>
        <w:spacing w:line="360" w:lineRule="auto"/>
        <w:jc w:val="both"/>
        <w:rPr>
          <w:rFonts w:ascii="Arial" w:hAnsi="Arial" w:eastAsia="Arial-BoldMT" w:cs="Arial"/>
          <w:sz w:val="24"/>
          <w:szCs w:val="24"/>
        </w:rPr>
      </w:pPr>
    </w:p>
    <w:p w14:paraId="43DDFDB0">
      <w:pPr>
        <w:spacing w:line="360" w:lineRule="auto"/>
        <w:jc w:val="both"/>
        <w:rPr>
          <w:rFonts w:ascii="Arial" w:hAnsi="Arial" w:eastAsia="Arial-BoldMT" w:cs="Arial"/>
          <w:b/>
          <w:bCs/>
          <w:sz w:val="24"/>
          <w:szCs w:val="24"/>
        </w:rPr>
      </w:pPr>
      <w:r>
        <w:rPr>
          <w:rFonts w:ascii="Arial" w:hAnsi="Arial" w:eastAsia="Arial-BoldMT" w:cs="Arial"/>
          <w:b/>
          <w:bCs/>
          <w:sz w:val="24"/>
          <w:szCs w:val="24"/>
        </w:rPr>
        <w:t>7 - Critérios de medição e de pagamento;</w:t>
      </w:r>
    </w:p>
    <w:p w14:paraId="73EC9724">
      <w:pPr>
        <w:spacing w:line="360" w:lineRule="auto"/>
        <w:jc w:val="both"/>
        <w:rPr>
          <w:rFonts w:ascii="Arial" w:hAnsi="Arial" w:eastAsia="Arial-BoldMT" w:cs="Arial"/>
          <w:b/>
          <w:bCs/>
          <w:sz w:val="24"/>
          <w:szCs w:val="24"/>
        </w:rPr>
      </w:pPr>
    </w:p>
    <w:p w14:paraId="292E74A3">
      <w:pPr>
        <w:spacing w:line="360" w:lineRule="auto"/>
        <w:jc w:val="both"/>
        <w:rPr>
          <w:rFonts w:ascii="Arial" w:hAnsi="Arial" w:cs="Arial"/>
          <w:sz w:val="24"/>
          <w:szCs w:val="24"/>
        </w:rPr>
      </w:pPr>
      <w:r>
        <w:rPr>
          <w:rFonts w:ascii="Arial" w:hAnsi="Arial" w:cs="Arial"/>
          <w:sz w:val="24"/>
          <w:szCs w:val="24"/>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52565907">
      <w:pPr>
        <w:spacing w:line="360" w:lineRule="auto"/>
        <w:jc w:val="both"/>
        <w:rPr>
          <w:rFonts w:ascii="Arial" w:hAnsi="Arial" w:cs="Arial"/>
          <w:sz w:val="24"/>
          <w:szCs w:val="24"/>
        </w:rPr>
      </w:pPr>
      <w:r>
        <w:rPr>
          <w:rFonts w:ascii="Arial" w:hAnsi="Arial" w:cs="Arial"/>
          <w:sz w:val="24"/>
          <w:szCs w:val="24"/>
        </w:rPr>
        <w:t>7.2. Considera-se ocorrido o recebimento da nota fiscal ou fatura no momento em que o órgão contratante atestar a execução do objeto do contrato</w:t>
      </w:r>
    </w:p>
    <w:p w14:paraId="1556F450">
      <w:pPr>
        <w:spacing w:line="360" w:lineRule="auto"/>
        <w:jc w:val="both"/>
        <w:rPr>
          <w:rFonts w:ascii="Arial" w:hAnsi="Arial" w:cs="Arial"/>
          <w:sz w:val="24"/>
          <w:szCs w:val="24"/>
        </w:rPr>
      </w:pPr>
      <w:r>
        <w:rPr>
          <w:rFonts w:ascii="Arial" w:hAnsi="Arial" w:cs="Arial"/>
          <w:sz w:val="24"/>
          <w:szCs w:val="24"/>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1A22B767">
      <w:pPr>
        <w:spacing w:line="360" w:lineRule="auto"/>
        <w:jc w:val="both"/>
        <w:rPr>
          <w:rFonts w:ascii="Arial" w:hAnsi="Arial" w:eastAsia="Arial" w:cs="Arial"/>
          <w:sz w:val="24"/>
          <w:szCs w:val="24"/>
          <w:lang w:eastAsia="pt-BR"/>
        </w:rPr>
      </w:pPr>
      <w:r>
        <w:rPr>
          <w:rFonts w:ascii="Arial" w:hAnsi="Arial" w:eastAsia="Arial" w:cs="Arial"/>
          <w:sz w:val="24"/>
          <w:szCs w:val="24"/>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66058A72">
      <w:pPr>
        <w:spacing w:line="360" w:lineRule="auto"/>
        <w:jc w:val="both"/>
        <w:rPr>
          <w:rFonts w:ascii="Arial" w:hAnsi="Arial" w:eastAsia="Arial" w:cs="Arial"/>
          <w:sz w:val="24"/>
          <w:szCs w:val="24"/>
          <w:lang w:eastAsia="pt-BR"/>
        </w:rPr>
      </w:pPr>
      <w:r>
        <w:rPr>
          <w:rFonts w:ascii="Arial" w:hAnsi="Arial" w:eastAsia="Arial" w:cs="Arial"/>
          <w:sz w:val="24"/>
          <w:szCs w:val="24"/>
          <w:lang w:eastAsia="pt-BR"/>
        </w:rPr>
        <w:t>7.5. Na hipótese de devolução, a nota fiscal/fatura será considerada como não apresentada, para fins de atendimento das condições contratuais.</w:t>
      </w:r>
    </w:p>
    <w:p w14:paraId="20202BDA">
      <w:pPr>
        <w:spacing w:line="360" w:lineRule="auto"/>
        <w:jc w:val="both"/>
        <w:rPr>
          <w:rFonts w:ascii="Arial" w:hAnsi="Arial" w:cs="Arial"/>
          <w:sz w:val="24"/>
          <w:szCs w:val="24"/>
        </w:rPr>
      </w:pPr>
      <w:r>
        <w:rPr>
          <w:rFonts w:ascii="Arial" w:hAnsi="Arial" w:eastAsia="Arial" w:cs="Arial"/>
          <w:sz w:val="24"/>
          <w:szCs w:val="24"/>
        </w:rPr>
        <w:t>7.6. A Contratante efetuará retenção, na fonte, dos tributos e contribuições sobre todos os pagamentos devidos à Contratada, na forma da legislação aplicável.</w:t>
      </w:r>
    </w:p>
    <w:p w14:paraId="2CBBA235">
      <w:pPr>
        <w:spacing w:line="360" w:lineRule="auto"/>
        <w:jc w:val="both"/>
        <w:rPr>
          <w:rFonts w:ascii="Arial" w:hAnsi="Arial" w:eastAsia="Arial" w:cs="Arial"/>
          <w:sz w:val="24"/>
          <w:szCs w:val="24"/>
        </w:rPr>
      </w:pPr>
      <w:r>
        <w:rPr>
          <w:rFonts w:ascii="Arial" w:hAnsi="Arial" w:cs="Arial"/>
          <w:sz w:val="24"/>
          <w:szCs w:val="24"/>
        </w:rPr>
        <w:t xml:space="preserve">7.7. </w:t>
      </w:r>
      <w:r>
        <w:rPr>
          <w:rFonts w:ascii="Arial" w:hAnsi="Arial" w:eastAsia="Arial" w:cs="Arial"/>
          <w:sz w:val="24"/>
          <w:szCs w:val="24"/>
        </w:rPr>
        <w:t>Os eventuais encargos financeiros, processuais e outros, decorrentes da inobservância, pela Contratada, de prazo de pagamento, serão de sua exclusiva responsabilidade.</w:t>
      </w:r>
    </w:p>
    <w:p w14:paraId="1D7CB875">
      <w:pPr>
        <w:spacing w:line="360" w:lineRule="auto"/>
        <w:jc w:val="both"/>
        <w:rPr>
          <w:rFonts w:ascii="Arial" w:hAnsi="Arial" w:eastAsia="Arial" w:cs="Arial"/>
          <w:color w:val="000000"/>
          <w:sz w:val="24"/>
          <w:szCs w:val="24"/>
        </w:rPr>
      </w:pPr>
      <w:r>
        <w:rPr>
          <w:rFonts w:ascii="Arial" w:hAnsi="Arial" w:eastAsia="Arial" w:cs="Arial"/>
          <w:color w:val="000000"/>
          <w:sz w:val="24"/>
          <w:szCs w:val="24"/>
        </w:rPr>
        <w:t>7.8. A Contratada, durante toda a execução do contrato, deverá manter todas as condições de habilitação e qualificação exigidas na licitação.</w:t>
      </w:r>
    </w:p>
    <w:p w14:paraId="28A1A08D">
      <w:pPr>
        <w:spacing w:line="360" w:lineRule="auto"/>
        <w:jc w:val="both"/>
        <w:rPr>
          <w:rFonts w:ascii="Arial" w:hAnsi="Arial" w:eastAsia="Arial-BoldMT" w:cs="Arial"/>
          <w:b/>
          <w:bCs/>
          <w:sz w:val="24"/>
          <w:szCs w:val="24"/>
        </w:rPr>
      </w:pPr>
    </w:p>
    <w:p w14:paraId="46395494">
      <w:pPr>
        <w:spacing w:line="360" w:lineRule="auto"/>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346C4C54">
      <w:pPr>
        <w:spacing w:line="360" w:lineRule="auto"/>
        <w:jc w:val="both"/>
        <w:rPr>
          <w:rFonts w:ascii="Arial" w:hAnsi="Arial" w:eastAsia="Arial-BoldMT" w:cs="Arial"/>
          <w:b/>
          <w:bCs/>
          <w:sz w:val="24"/>
          <w:szCs w:val="24"/>
        </w:rPr>
      </w:pPr>
    </w:p>
    <w:p w14:paraId="3EA98E00">
      <w:pPr>
        <w:spacing w:line="360" w:lineRule="auto"/>
        <w:jc w:val="both"/>
        <w:rPr>
          <w:rFonts w:ascii="Arial" w:hAnsi="Arial" w:cs="Arial"/>
          <w:sz w:val="24"/>
          <w:szCs w:val="24"/>
        </w:rPr>
      </w:pPr>
      <w:r>
        <w:rPr>
          <w:rFonts w:ascii="Arial" w:hAnsi="Arial" w:cs="Arial"/>
          <w:sz w:val="24"/>
          <w:szCs w:val="24"/>
        </w:rPr>
        <w:t>Aplica-se ao presente o disposto no inc. I do art. 33 da Lei 14.133/2021, ou seja, julgamento das propostas menor preço unitário. Trata-se de item único.</w:t>
      </w:r>
    </w:p>
    <w:p w14:paraId="05030A60">
      <w:pPr>
        <w:spacing w:line="360" w:lineRule="auto"/>
        <w:jc w:val="both"/>
        <w:rPr>
          <w:rFonts w:ascii="Arial" w:hAnsi="Arial" w:eastAsia="Arial-BoldMT" w:cs="Arial"/>
          <w:b/>
          <w:bCs/>
          <w:sz w:val="24"/>
          <w:szCs w:val="24"/>
        </w:rPr>
      </w:pPr>
    </w:p>
    <w:p w14:paraId="1ABDB897">
      <w:pPr>
        <w:spacing w:line="360" w:lineRule="auto"/>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B23A0F5">
      <w:pPr>
        <w:pStyle w:val="17"/>
        <w:widowControl w:val="0"/>
        <w:autoSpaceDE w:val="0"/>
        <w:autoSpaceDN w:val="0"/>
        <w:spacing w:after="0" w:line="360" w:lineRule="auto"/>
        <w:ind w:left="0"/>
        <w:contextualSpacing w:val="0"/>
        <w:jc w:val="both"/>
        <w:rPr>
          <w:rFonts w:ascii="Arial" w:hAnsi="Arial" w:cs="Arial"/>
          <w:b/>
          <w:bCs/>
          <w:sz w:val="24"/>
          <w:szCs w:val="24"/>
        </w:rPr>
      </w:pPr>
    </w:p>
    <w:p w14:paraId="3B8C5EDD">
      <w:pPr>
        <w:pStyle w:val="17"/>
        <w:widowControl w:val="0"/>
        <w:autoSpaceDE w:val="0"/>
        <w:autoSpaceDN w:val="0"/>
        <w:spacing w:after="0" w:line="360" w:lineRule="auto"/>
        <w:ind w:left="0"/>
        <w:contextualSpacing w:val="0"/>
        <w:jc w:val="both"/>
        <w:rPr>
          <w:rFonts w:ascii="Arial" w:hAnsi="Arial" w:cs="Arial"/>
          <w:sz w:val="24"/>
          <w:szCs w:val="24"/>
        </w:rPr>
      </w:pPr>
      <w:r>
        <w:rPr>
          <w:rFonts w:ascii="Arial" w:hAnsi="Arial" w:cs="Arial"/>
          <w:sz w:val="24"/>
          <w:szCs w:val="24"/>
        </w:rPr>
        <w:t>9.1 Para fins de elaboração do valor estimado da contratação, foram observadas as regras constantes do § 1º do art. 23 da Lei Federal n. 14.133/2021:</w:t>
      </w:r>
    </w:p>
    <w:p w14:paraId="5AEC8AA9">
      <w:pPr>
        <w:pStyle w:val="17"/>
        <w:widowControl w:val="0"/>
        <w:autoSpaceDE w:val="0"/>
        <w:autoSpaceDN w:val="0"/>
        <w:spacing w:after="0" w:line="360" w:lineRule="auto"/>
        <w:ind w:left="0"/>
        <w:contextualSpacing w:val="0"/>
        <w:jc w:val="both"/>
        <w:rPr>
          <w:rFonts w:ascii="Arial" w:hAnsi="Arial" w:cs="Arial"/>
          <w:sz w:val="24"/>
          <w:szCs w:val="24"/>
        </w:rPr>
      </w:pPr>
    </w:p>
    <w:p w14:paraId="7C930ECD">
      <w:pPr>
        <w:pStyle w:val="17"/>
        <w:widowControl w:val="0"/>
        <w:autoSpaceDE w:val="0"/>
        <w:autoSpaceDN w:val="0"/>
        <w:spacing w:after="0" w:line="360" w:lineRule="auto"/>
        <w:ind w:left="1560"/>
        <w:jc w:val="both"/>
        <w:rPr>
          <w:rFonts w:ascii="Arial" w:hAnsi="Arial" w:cs="Arial"/>
          <w:b/>
          <w:bCs/>
          <w:sz w:val="24"/>
          <w:szCs w:val="24"/>
        </w:rPr>
      </w:pPr>
      <w:r>
        <w:rPr>
          <w:rFonts w:ascii="Arial" w:hAnsi="Arial" w:cs="Arial"/>
          <w:b/>
          <w:bCs/>
          <w:sz w:val="24"/>
          <w:szCs w:val="24"/>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4795EE34">
      <w:pPr>
        <w:pStyle w:val="17"/>
        <w:widowControl w:val="0"/>
        <w:autoSpaceDE w:val="0"/>
        <w:autoSpaceDN w:val="0"/>
        <w:spacing w:after="0" w:line="360" w:lineRule="auto"/>
        <w:ind w:left="1560"/>
        <w:jc w:val="both"/>
        <w:rPr>
          <w:rFonts w:ascii="Arial" w:hAnsi="Arial" w:cs="Arial"/>
          <w:b/>
          <w:bCs/>
          <w:sz w:val="24"/>
          <w:szCs w:val="24"/>
        </w:rPr>
      </w:pPr>
      <w:bookmarkStart w:id="3" w:name="art23§1i"/>
      <w:bookmarkEnd w:id="3"/>
      <w:r>
        <w:rPr>
          <w:rFonts w:ascii="Arial" w:hAnsi="Arial" w:cs="Arial"/>
          <w:b/>
          <w:bCs/>
          <w:sz w:val="24"/>
          <w:szCs w:val="24"/>
        </w:rPr>
        <w:t>I - Composição de custos unitários menores ou iguais à mediana do item correspondente no painel para consulta de preços ou no banco de preços em saúde disponíveis no Portal Nacional de Contratações Públicas (PNCP);</w:t>
      </w:r>
    </w:p>
    <w:p w14:paraId="3123347F">
      <w:pPr>
        <w:pStyle w:val="17"/>
        <w:widowControl w:val="0"/>
        <w:autoSpaceDE w:val="0"/>
        <w:autoSpaceDN w:val="0"/>
        <w:spacing w:after="0" w:line="360" w:lineRule="auto"/>
        <w:ind w:left="1560"/>
        <w:jc w:val="both"/>
        <w:rPr>
          <w:rFonts w:ascii="Arial" w:hAnsi="Arial" w:cs="Arial"/>
          <w:b/>
          <w:bCs/>
          <w:sz w:val="24"/>
          <w:szCs w:val="24"/>
        </w:rPr>
      </w:pPr>
      <w:bookmarkStart w:id="4" w:name="art23§1ii"/>
      <w:bookmarkEnd w:id="4"/>
      <w:r>
        <w:rPr>
          <w:rFonts w:ascii="Arial" w:hAnsi="Arial" w:cs="Arial"/>
          <w:b/>
          <w:bCs/>
          <w:sz w:val="24"/>
          <w:szCs w:val="24"/>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32C12468">
      <w:pPr>
        <w:pStyle w:val="17"/>
        <w:widowControl w:val="0"/>
        <w:autoSpaceDE w:val="0"/>
        <w:autoSpaceDN w:val="0"/>
        <w:spacing w:after="0" w:line="360" w:lineRule="auto"/>
        <w:ind w:left="1560"/>
        <w:jc w:val="both"/>
        <w:rPr>
          <w:rFonts w:ascii="Arial" w:hAnsi="Arial" w:cs="Arial"/>
          <w:b/>
          <w:bCs/>
          <w:sz w:val="24"/>
          <w:szCs w:val="24"/>
        </w:rPr>
      </w:pPr>
      <w:bookmarkStart w:id="5" w:name="art23§1iii"/>
      <w:bookmarkEnd w:id="5"/>
      <w:r>
        <w:rPr>
          <w:rFonts w:ascii="Arial" w:hAnsi="Arial" w:cs="Arial"/>
          <w:b/>
          <w:bCs/>
          <w:sz w:val="24"/>
          <w:szCs w:val="24"/>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48512705">
      <w:pPr>
        <w:pStyle w:val="17"/>
        <w:spacing w:after="0" w:line="360" w:lineRule="auto"/>
        <w:ind w:left="0"/>
        <w:jc w:val="both"/>
        <w:rPr>
          <w:rFonts w:ascii="Arial" w:hAnsi="Arial" w:cs="Arial"/>
          <w:color w:val="000000" w:themeColor="text1"/>
          <w:sz w:val="24"/>
          <w:szCs w:val="24"/>
          <w14:textFill>
            <w14:solidFill>
              <w14:schemeClr w14:val="tx1"/>
            </w14:solidFill>
          </w14:textFill>
        </w:rPr>
      </w:pPr>
      <w:r>
        <w:rPr>
          <w:rFonts w:ascii="Arial" w:hAnsi="Arial" w:cs="Arial"/>
          <w:sz w:val="24"/>
          <w:szCs w:val="24"/>
        </w:rPr>
        <w:t>Destarte com fundamento nos atos normativos acima referenciados, levando em considera</w:t>
      </w:r>
      <w:r>
        <w:rPr>
          <w:rFonts w:hint="cs" w:ascii="Arial" w:hAnsi="Arial" w:cs="Arial"/>
          <w:sz w:val="24"/>
          <w:szCs w:val="24"/>
        </w:rPr>
        <w:t>çã</w:t>
      </w:r>
      <w:r>
        <w:rPr>
          <w:rFonts w:ascii="Arial" w:hAnsi="Arial" w:cs="Arial"/>
          <w:sz w:val="24"/>
          <w:szCs w:val="24"/>
        </w:rPr>
        <w:t xml:space="preserve">o a pesquisa de mercado. Foram analisadas contratações similares feitas por outros órgãos e entidades, conforme relatório de pesquisa de preços do “Bancodeprecos.com.br”. Essa abordagem permitiu uma estimativa precisa e fundamentada dos custos envolvidos na compra. Ressalvando que os valores apresentados são referenciais e passíveis de ajustes, visando garantir a eficiência e </w:t>
      </w:r>
      <w:r>
        <w:rPr>
          <w:rFonts w:ascii="Arial" w:hAnsi="Arial" w:cs="Arial"/>
          <w:color w:val="000000" w:themeColor="text1"/>
          <w:sz w:val="24"/>
          <w:szCs w:val="24"/>
          <w14:textFill>
            <w14:solidFill>
              <w14:schemeClr w14:val="tx1"/>
            </w14:solidFill>
          </w14:textFill>
        </w:rPr>
        <w:t>economicidade na utilização dos recursos públicos.</w:t>
      </w:r>
    </w:p>
    <w:p w14:paraId="13D3A683">
      <w:pPr>
        <w:pStyle w:val="17"/>
        <w:spacing w:after="0" w:line="360" w:lineRule="auto"/>
        <w:ind w:left="0"/>
        <w:jc w:val="both"/>
        <w:rPr>
          <w:rFonts w:ascii="Arial" w:hAnsi="Arial" w:cs="Arial"/>
          <w:color w:val="000000" w:themeColor="text1"/>
          <w:sz w:val="24"/>
          <w:szCs w:val="24"/>
          <w14:textFill>
            <w14:solidFill>
              <w14:schemeClr w14:val="tx1"/>
            </w14:solidFill>
          </w14:textFill>
        </w:rPr>
      </w:pPr>
    </w:p>
    <w:tbl>
      <w:tblPr>
        <w:tblStyle w:val="7"/>
        <w:tblW w:w="9099" w:type="dxa"/>
        <w:tblInd w:w="70" w:type="dxa"/>
        <w:tblLayout w:type="fixed"/>
        <w:tblCellMar>
          <w:top w:w="0" w:type="dxa"/>
          <w:left w:w="70" w:type="dxa"/>
          <w:bottom w:w="0" w:type="dxa"/>
          <w:right w:w="70" w:type="dxa"/>
        </w:tblCellMar>
      </w:tblPr>
      <w:tblGrid>
        <w:gridCol w:w="737"/>
        <w:gridCol w:w="992"/>
        <w:gridCol w:w="737"/>
        <w:gridCol w:w="3912"/>
        <w:gridCol w:w="1304"/>
        <w:gridCol w:w="1417"/>
      </w:tblGrid>
      <w:tr w14:paraId="7822BA9D">
        <w:tblPrEx>
          <w:tblCellMar>
            <w:top w:w="0" w:type="dxa"/>
            <w:left w:w="70" w:type="dxa"/>
            <w:bottom w:w="0" w:type="dxa"/>
            <w:right w:w="70" w:type="dxa"/>
          </w:tblCellMar>
        </w:tblPrEx>
        <w:trPr>
          <w:trHeight w:val="454" w:hRule="atLeast"/>
        </w:trPr>
        <w:tc>
          <w:tcPr>
            <w:tcW w:w="737" w:type="dxa"/>
            <w:tcBorders>
              <w:top w:val="single" w:color="auto" w:sz="12" w:space="0"/>
              <w:left w:val="single" w:color="auto" w:sz="12" w:space="0"/>
              <w:bottom w:val="single" w:color="auto" w:sz="12" w:space="0"/>
              <w:right w:val="single" w:color="auto" w:sz="12" w:space="0"/>
            </w:tcBorders>
            <w:shd w:val="clear" w:color="auto" w:fill="auto"/>
            <w:vAlign w:val="center"/>
          </w:tcPr>
          <w:p w14:paraId="35344FBB">
            <w:pPr>
              <w:spacing w:before="120" w:after="120"/>
              <w:jc w:val="center"/>
              <w:rPr>
                <w:color w:val="000000"/>
                <w:sz w:val="24"/>
                <w:szCs w:val="24"/>
                <w:lang w:eastAsia="pt-BR"/>
              </w:rPr>
            </w:pPr>
            <w:bookmarkStart w:id="6" w:name="_Hlk157774909"/>
            <w:r>
              <w:rPr>
                <w:color w:val="000000"/>
                <w:sz w:val="24"/>
                <w:szCs w:val="24"/>
                <w:lang w:eastAsia="pt-BR"/>
              </w:rPr>
              <w:t>ITEM</w:t>
            </w:r>
          </w:p>
        </w:tc>
        <w:tc>
          <w:tcPr>
            <w:tcW w:w="992" w:type="dxa"/>
            <w:tcBorders>
              <w:top w:val="single" w:color="auto" w:sz="12" w:space="0"/>
              <w:left w:val="nil"/>
              <w:bottom w:val="single" w:color="auto" w:sz="12" w:space="0"/>
              <w:right w:val="single" w:color="auto" w:sz="12" w:space="0"/>
            </w:tcBorders>
            <w:shd w:val="clear" w:color="auto" w:fill="auto"/>
            <w:vAlign w:val="center"/>
          </w:tcPr>
          <w:p w14:paraId="3427078D">
            <w:pPr>
              <w:spacing w:before="120" w:after="120"/>
              <w:jc w:val="center"/>
              <w:rPr>
                <w:color w:val="000000"/>
                <w:sz w:val="24"/>
                <w:szCs w:val="24"/>
                <w:lang w:eastAsia="pt-BR"/>
              </w:rPr>
            </w:pPr>
            <w:r>
              <w:rPr>
                <w:color w:val="000000"/>
                <w:sz w:val="24"/>
                <w:szCs w:val="24"/>
                <w:lang w:eastAsia="pt-BR"/>
              </w:rPr>
              <w:t>QUANT</w:t>
            </w:r>
          </w:p>
        </w:tc>
        <w:tc>
          <w:tcPr>
            <w:tcW w:w="737" w:type="dxa"/>
            <w:tcBorders>
              <w:top w:val="single" w:color="auto" w:sz="12" w:space="0"/>
              <w:left w:val="nil"/>
              <w:bottom w:val="single" w:color="auto" w:sz="12" w:space="0"/>
              <w:right w:val="single" w:color="auto" w:sz="12" w:space="0"/>
            </w:tcBorders>
            <w:vAlign w:val="center"/>
          </w:tcPr>
          <w:p w14:paraId="78B699CD">
            <w:pPr>
              <w:spacing w:before="120" w:after="120"/>
              <w:ind w:left="-57"/>
              <w:jc w:val="center"/>
              <w:rPr>
                <w:color w:val="000000"/>
                <w:sz w:val="24"/>
                <w:szCs w:val="24"/>
                <w:lang w:eastAsia="pt-BR"/>
              </w:rPr>
            </w:pPr>
            <w:r>
              <w:rPr>
                <w:color w:val="000000"/>
                <w:sz w:val="24"/>
                <w:szCs w:val="24"/>
                <w:lang w:eastAsia="pt-BR"/>
              </w:rPr>
              <w:t>UNID</w:t>
            </w:r>
          </w:p>
        </w:tc>
        <w:tc>
          <w:tcPr>
            <w:tcW w:w="3912" w:type="dxa"/>
            <w:tcBorders>
              <w:top w:val="single" w:color="auto" w:sz="12" w:space="0"/>
              <w:left w:val="single" w:color="auto" w:sz="12" w:space="0"/>
              <w:bottom w:val="single" w:color="auto" w:sz="12" w:space="0"/>
              <w:right w:val="single" w:color="auto" w:sz="12" w:space="0"/>
            </w:tcBorders>
            <w:vAlign w:val="center"/>
          </w:tcPr>
          <w:p w14:paraId="467922C5">
            <w:pPr>
              <w:spacing w:before="120" w:after="120"/>
              <w:jc w:val="center"/>
              <w:rPr>
                <w:color w:val="000000"/>
                <w:sz w:val="24"/>
                <w:szCs w:val="24"/>
                <w:lang w:eastAsia="pt-BR"/>
              </w:rPr>
            </w:pPr>
            <w:r>
              <w:rPr>
                <w:color w:val="000000"/>
                <w:sz w:val="24"/>
                <w:szCs w:val="24"/>
                <w:lang w:eastAsia="pt-BR"/>
              </w:rPr>
              <w:t>PRODUTO/DESCRIÇÃO</w:t>
            </w:r>
          </w:p>
        </w:tc>
        <w:tc>
          <w:tcPr>
            <w:tcW w:w="1304" w:type="dxa"/>
            <w:tcBorders>
              <w:top w:val="single" w:color="auto" w:sz="12" w:space="0"/>
              <w:left w:val="single" w:color="auto" w:sz="12" w:space="0"/>
              <w:bottom w:val="single" w:color="auto" w:sz="12" w:space="0"/>
              <w:right w:val="single" w:color="auto" w:sz="12" w:space="0"/>
            </w:tcBorders>
          </w:tcPr>
          <w:p w14:paraId="7D4FA33B">
            <w:pPr>
              <w:spacing w:before="120" w:after="120"/>
              <w:jc w:val="center"/>
              <w:rPr>
                <w:color w:val="000000"/>
                <w:sz w:val="24"/>
                <w:szCs w:val="24"/>
                <w:lang w:eastAsia="pt-BR"/>
              </w:rPr>
            </w:pPr>
            <w:r>
              <w:rPr>
                <w:color w:val="000000"/>
                <w:sz w:val="24"/>
                <w:szCs w:val="24"/>
                <w:lang w:eastAsia="pt-BR"/>
              </w:rPr>
              <w:t>VALOR MÉDIO UNITÁRIO</w:t>
            </w:r>
          </w:p>
        </w:tc>
        <w:tc>
          <w:tcPr>
            <w:tcW w:w="1417" w:type="dxa"/>
            <w:tcBorders>
              <w:top w:val="single" w:color="auto" w:sz="12" w:space="0"/>
              <w:left w:val="single" w:color="auto" w:sz="12" w:space="0"/>
              <w:bottom w:val="single" w:color="auto" w:sz="12" w:space="0"/>
              <w:right w:val="single" w:color="auto" w:sz="12" w:space="0"/>
            </w:tcBorders>
          </w:tcPr>
          <w:p w14:paraId="114C6364">
            <w:pPr>
              <w:spacing w:before="120" w:after="120"/>
              <w:jc w:val="center"/>
              <w:rPr>
                <w:color w:val="000000"/>
                <w:sz w:val="24"/>
                <w:szCs w:val="24"/>
                <w:lang w:eastAsia="pt-BR"/>
              </w:rPr>
            </w:pPr>
            <w:r>
              <w:rPr>
                <w:color w:val="000000"/>
                <w:sz w:val="24"/>
                <w:szCs w:val="24"/>
                <w:lang w:eastAsia="pt-BR"/>
              </w:rPr>
              <w:t>VALOR MÉDIO TOTAL</w:t>
            </w:r>
          </w:p>
        </w:tc>
      </w:tr>
      <w:tr w14:paraId="458A677D">
        <w:tblPrEx>
          <w:tblCellMar>
            <w:top w:w="0" w:type="dxa"/>
            <w:left w:w="70" w:type="dxa"/>
            <w:bottom w:w="0" w:type="dxa"/>
            <w:right w:w="70" w:type="dxa"/>
          </w:tblCellMar>
        </w:tblPrEx>
        <w:trPr>
          <w:trHeight w:val="737" w:hRule="atLeast"/>
        </w:trPr>
        <w:tc>
          <w:tcPr>
            <w:tcW w:w="737" w:type="dxa"/>
            <w:tcBorders>
              <w:top w:val="single" w:color="auto" w:sz="12" w:space="0"/>
              <w:left w:val="single" w:color="auto" w:sz="12" w:space="0"/>
              <w:bottom w:val="single" w:color="auto" w:sz="12" w:space="0"/>
              <w:right w:val="single" w:color="auto" w:sz="12" w:space="0"/>
            </w:tcBorders>
            <w:shd w:val="clear" w:color="auto" w:fill="auto"/>
            <w:vAlign w:val="center"/>
          </w:tcPr>
          <w:p w14:paraId="492294D2">
            <w:pPr>
              <w:numPr>
                <w:ilvl w:val="0"/>
                <w:numId w:val="15"/>
              </w:numPr>
              <w:suppressAutoHyphens w:val="0"/>
              <w:ind w:left="530"/>
              <w:jc w:val="center"/>
              <w:rPr>
                <w:color w:val="000000"/>
                <w:sz w:val="24"/>
                <w:szCs w:val="24"/>
                <w:lang w:eastAsia="pt-BR"/>
              </w:rPr>
            </w:pPr>
          </w:p>
        </w:tc>
        <w:tc>
          <w:tcPr>
            <w:tcW w:w="992" w:type="dxa"/>
            <w:tcBorders>
              <w:top w:val="single" w:color="auto" w:sz="12" w:space="0"/>
              <w:left w:val="nil"/>
              <w:bottom w:val="single" w:color="auto" w:sz="12" w:space="0"/>
              <w:right w:val="single" w:color="auto" w:sz="12" w:space="0"/>
            </w:tcBorders>
            <w:shd w:val="clear" w:color="auto" w:fill="auto"/>
            <w:vAlign w:val="center"/>
          </w:tcPr>
          <w:p w14:paraId="03BFFFB3">
            <w:pPr>
              <w:jc w:val="center"/>
              <w:textAlignment w:val="baseline"/>
              <w:rPr>
                <w:sz w:val="24"/>
                <w:szCs w:val="24"/>
              </w:rPr>
            </w:pPr>
            <w:r>
              <w:rPr>
                <w:sz w:val="24"/>
                <w:szCs w:val="24"/>
              </w:rPr>
              <w:t>13</w:t>
            </w:r>
          </w:p>
        </w:tc>
        <w:tc>
          <w:tcPr>
            <w:tcW w:w="737" w:type="dxa"/>
            <w:tcBorders>
              <w:top w:val="single" w:color="auto" w:sz="12" w:space="0"/>
              <w:left w:val="nil"/>
              <w:bottom w:val="single" w:color="auto" w:sz="12" w:space="0"/>
              <w:right w:val="single" w:color="auto" w:sz="12" w:space="0"/>
            </w:tcBorders>
            <w:vAlign w:val="center"/>
          </w:tcPr>
          <w:p w14:paraId="1B617854">
            <w:pPr>
              <w:jc w:val="center"/>
              <w:rPr>
                <w:sz w:val="24"/>
                <w:szCs w:val="24"/>
              </w:rPr>
            </w:pPr>
            <w:r>
              <w:rPr>
                <w:sz w:val="24"/>
                <w:szCs w:val="24"/>
              </w:rPr>
              <w:t>UND</w:t>
            </w:r>
          </w:p>
        </w:tc>
        <w:tc>
          <w:tcPr>
            <w:tcW w:w="3912" w:type="dxa"/>
            <w:tcBorders>
              <w:top w:val="single" w:color="auto" w:sz="12" w:space="0"/>
              <w:left w:val="single" w:color="auto" w:sz="12" w:space="0"/>
              <w:bottom w:val="single" w:color="auto" w:sz="12" w:space="0"/>
              <w:right w:val="single" w:color="auto" w:sz="12" w:space="0"/>
            </w:tcBorders>
          </w:tcPr>
          <w:p w14:paraId="789E9789">
            <w:pPr>
              <w:spacing w:before="60" w:after="60"/>
              <w:jc w:val="both"/>
              <w:rPr>
                <w:rFonts w:ascii="Arial" w:hAnsi="Arial" w:cs="Arial"/>
              </w:rPr>
            </w:pPr>
            <w:r>
              <w:rPr>
                <w:rFonts w:ascii="Arial" w:hAnsi="Arial" w:cs="Arial"/>
              </w:rPr>
              <w:t>CONJUNTO COLETIVO CJC 01 MESA COM 4CADEIRAS</w:t>
            </w:r>
          </w:p>
          <w:p w14:paraId="77286511">
            <w:pPr>
              <w:spacing w:before="60" w:after="60"/>
              <w:jc w:val="both"/>
              <w:rPr>
                <w:rFonts w:ascii="Arial" w:hAnsi="Arial" w:cs="Arial"/>
              </w:rPr>
            </w:pPr>
            <w:r>
              <w:rPr>
                <w:rFonts w:ascii="Arial" w:hAnsi="Arial" w:cs="Arial"/>
              </w:rPr>
              <w:t>Mesa - Tampo em madeira aglomerada (MDP), com espessura de 25 mm, revestido na face superior em laminado melamínico de alta pressão, 0,8 mm de espessura, acabamento texturizado, na cor CINZA.</w:t>
            </w:r>
          </w:p>
          <w:p w14:paraId="63BA3895">
            <w:pPr>
              <w:spacing w:before="60" w:after="60"/>
              <w:jc w:val="both"/>
              <w:rPr>
                <w:rFonts w:ascii="Arial" w:hAnsi="Arial" w:cs="Arial"/>
              </w:rPr>
            </w:pPr>
            <w:r>
              <w:rPr>
                <w:rFonts w:ascii="Arial" w:hAnsi="Arial" w:cs="Arial"/>
              </w:rPr>
              <w:t>Revestimento na face inferior em laminado melamínico de baixa pressão - BP, na cor BRANCA. Furação e colocação de buchas em zamac, autoatarraxantes, rosca interna 1/4 x 13 mm de comprimento, conforme projeto e detalhamento. Dimensões acabadas 800 mm (largura) x 800 mm (comprimento) x 25,8 mm (espessura), admitindo-se tolerância de até + 2 mm para largura e comprimento e +/-1 mm para espessura. Topos encabeçados com fita de bordo em PVC (cloreto de polinivinila) com "primer", acabamento texturizado, na cor LARANJA, coladas com adesivo "Hot Melting". Dimensões nominais de 29 mm (largura) x 3 mm(espessura), com tolerância de até 2,5 mm para espessura. Estrutura da mesa compostas de: - Pés confeccionados em tubo de aço carbono, laminado a frio, com costura, ® = 38 mm (1 1/2"), em chapa 16 (1,5</w:t>
            </w:r>
          </w:p>
          <w:p w14:paraId="7A198C42">
            <w:pPr>
              <w:spacing w:before="60" w:after="60"/>
              <w:jc w:val="both"/>
              <w:rPr>
                <w:rFonts w:ascii="Arial" w:hAnsi="Arial" w:cs="Arial"/>
              </w:rPr>
            </w:pPr>
            <w:r>
              <w:rPr>
                <w:rFonts w:ascii="Arial" w:hAnsi="Arial" w:cs="Arial"/>
              </w:rPr>
              <w:t>- Travessas em tubo de aço carbono, laminado a frio, com costura, secção retangular de 20 mm x 40 mm, em chapa 16 (1,5 mm); - Segmento de tubo h = 40 mm, em chapa 16 (1,5 mm). Altura da mesa: 46 cm.Tampo da mesa quadrada para 04 lugares: 80 cm x 80cm.</w:t>
            </w:r>
          </w:p>
          <w:p w14:paraId="67831DA3">
            <w:pPr>
              <w:jc w:val="both"/>
              <w:rPr>
                <w:sz w:val="24"/>
                <w:szCs w:val="24"/>
              </w:rPr>
            </w:pPr>
            <w:r>
              <w:rPr>
                <w:rFonts w:ascii="Arial" w:hAnsi="Arial" w:cs="Arial"/>
              </w:rPr>
              <w:t>Altura do assento da cadeira ao chão: 26 cm Assento da cadeira: 26 cm x 34 cm Encosto da cadeira: 15,5 cm x 35 cm</w:t>
            </w:r>
          </w:p>
        </w:tc>
        <w:tc>
          <w:tcPr>
            <w:tcW w:w="1304" w:type="dxa"/>
            <w:tcBorders>
              <w:top w:val="single" w:color="auto" w:sz="12" w:space="0"/>
              <w:left w:val="single" w:color="auto" w:sz="12" w:space="0"/>
              <w:bottom w:val="single" w:color="auto" w:sz="12" w:space="0"/>
              <w:right w:val="single" w:color="auto" w:sz="12" w:space="0"/>
            </w:tcBorders>
            <w:vAlign w:val="center"/>
          </w:tcPr>
          <w:p w14:paraId="10711E84">
            <w:pPr>
              <w:spacing w:line="360" w:lineRule="auto"/>
              <w:jc w:val="center"/>
              <w:rPr>
                <w:b/>
                <w:sz w:val="24"/>
                <w:szCs w:val="24"/>
              </w:rPr>
            </w:pPr>
            <w:r>
              <w:rPr>
                <w:sz w:val="24"/>
                <w:szCs w:val="24"/>
              </w:rPr>
              <w:t>R$ 1135,50</w:t>
            </w:r>
          </w:p>
        </w:tc>
        <w:tc>
          <w:tcPr>
            <w:tcW w:w="1417" w:type="dxa"/>
            <w:tcBorders>
              <w:top w:val="single" w:color="auto" w:sz="12" w:space="0"/>
              <w:left w:val="single" w:color="auto" w:sz="12" w:space="0"/>
              <w:bottom w:val="single" w:color="auto" w:sz="12" w:space="0"/>
              <w:right w:val="single" w:color="auto" w:sz="12" w:space="0"/>
            </w:tcBorders>
            <w:vAlign w:val="center"/>
          </w:tcPr>
          <w:p w14:paraId="43F5CADD">
            <w:pPr>
              <w:spacing w:line="360" w:lineRule="auto"/>
              <w:jc w:val="center"/>
              <w:rPr>
                <w:b/>
                <w:sz w:val="24"/>
                <w:szCs w:val="24"/>
              </w:rPr>
            </w:pPr>
            <w:r>
              <w:rPr>
                <w:sz w:val="24"/>
                <w:szCs w:val="24"/>
              </w:rPr>
              <w:t>R$ 14.761,5</w:t>
            </w:r>
          </w:p>
        </w:tc>
      </w:tr>
      <w:tr w14:paraId="59D75D7E">
        <w:tblPrEx>
          <w:tblCellMar>
            <w:top w:w="0" w:type="dxa"/>
            <w:left w:w="70" w:type="dxa"/>
            <w:bottom w:w="0" w:type="dxa"/>
            <w:right w:w="70" w:type="dxa"/>
          </w:tblCellMar>
        </w:tblPrEx>
        <w:trPr>
          <w:trHeight w:val="397" w:hRule="atLeast"/>
        </w:trPr>
        <w:tc>
          <w:tcPr>
            <w:tcW w:w="737" w:type="dxa"/>
            <w:tcBorders>
              <w:top w:val="single" w:color="auto" w:sz="12" w:space="0"/>
              <w:left w:val="single" w:color="auto" w:sz="12" w:space="0"/>
              <w:bottom w:val="single" w:color="auto" w:sz="12" w:space="0"/>
              <w:right w:val="single" w:color="auto" w:sz="12" w:space="0"/>
            </w:tcBorders>
            <w:shd w:val="clear" w:color="auto" w:fill="auto"/>
            <w:vAlign w:val="center"/>
          </w:tcPr>
          <w:p w14:paraId="218C039A">
            <w:pPr>
              <w:numPr>
                <w:ilvl w:val="0"/>
                <w:numId w:val="15"/>
              </w:numPr>
              <w:suppressAutoHyphens w:val="0"/>
              <w:ind w:left="530"/>
              <w:jc w:val="center"/>
              <w:rPr>
                <w:color w:val="000000"/>
                <w:sz w:val="24"/>
                <w:szCs w:val="24"/>
                <w:lang w:eastAsia="pt-BR"/>
              </w:rPr>
            </w:pPr>
          </w:p>
        </w:tc>
        <w:tc>
          <w:tcPr>
            <w:tcW w:w="992" w:type="dxa"/>
            <w:tcBorders>
              <w:top w:val="single" w:color="auto" w:sz="12" w:space="0"/>
              <w:left w:val="nil"/>
              <w:bottom w:val="single" w:color="auto" w:sz="12" w:space="0"/>
              <w:right w:val="single" w:color="auto" w:sz="12" w:space="0"/>
            </w:tcBorders>
            <w:shd w:val="clear" w:color="auto" w:fill="auto"/>
            <w:vAlign w:val="center"/>
          </w:tcPr>
          <w:p w14:paraId="1372DF9F">
            <w:pPr>
              <w:jc w:val="center"/>
              <w:textAlignment w:val="baseline"/>
              <w:rPr>
                <w:sz w:val="24"/>
                <w:szCs w:val="24"/>
              </w:rPr>
            </w:pPr>
            <w:r>
              <w:rPr>
                <w:sz w:val="24"/>
                <w:szCs w:val="24"/>
              </w:rPr>
              <w:t>2</w:t>
            </w:r>
          </w:p>
        </w:tc>
        <w:tc>
          <w:tcPr>
            <w:tcW w:w="737" w:type="dxa"/>
            <w:tcBorders>
              <w:top w:val="single" w:color="auto" w:sz="12" w:space="0"/>
              <w:left w:val="nil"/>
              <w:bottom w:val="single" w:color="auto" w:sz="12" w:space="0"/>
              <w:right w:val="single" w:color="auto" w:sz="12" w:space="0"/>
            </w:tcBorders>
            <w:vAlign w:val="center"/>
          </w:tcPr>
          <w:p w14:paraId="38F9A4D6">
            <w:pPr>
              <w:jc w:val="center"/>
              <w:rPr>
                <w:sz w:val="24"/>
                <w:szCs w:val="24"/>
              </w:rPr>
            </w:pPr>
            <w:r>
              <w:rPr>
                <w:sz w:val="24"/>
                <w:szCs w:val="24"/>
              </w:rPr>
              <w:t>UND</w:t>
            </w:r>
          </w:p>
        </w:tc>
        <w:tc>
          <w:tcPr>
            <w:tcW w:w="3912" w:type="dxa"/>
            <w:tcBorders>
              <w:top w:val="single" w:color="auto" w:sz="12" w:space="0"/>
              <w:left w:val="single" w:color="auto" w:sz="12" w:space="0"/>
              <w:bottom w:val="single" w:color="auto" w:sz="12" w:space="0"/>
              <w:right w:val="single" w:color="auto" w:sz="12" w:space="0"/>
            </w:tcBorders>
            <w:vAlign w:val="center"/>
          </w:tcPr>
          <w:p w14:paraId="5C3589EB">
            <w:pPr>
              <w:jc w:val="both"/>
              <w:rPr>
                <w:sz w:val="24"/>
                <w:szCs w:val="24"/>
              </w:rPr>
            </w:pPr>
            <w:r>
              <w:rPr>
                <w:rFonts w:ascii="Arial" w:hAnsi="Arial" w:cs="Arial"/>
                <w:color w:val="000000"/>
                <w:lang w:eastAsia="pt-BR"/>
              </w:rPr>
              <w:t xml:space="preserve">Escrivaninha para estudos em madeira industrial, Produzido em MDF, Partes em MDP, Pintura em UV, </w:t>
            </w:r>
            <w:r>
              <w:rPr>
                <w:rFonts w:ascii="Arial" w:hAnsi="Arial" w:cs="Arial"/>
                <w:b/>
                <w:bCs/>
                <w:color w:val="000000"/>
                <w:lang w:eastAsia="pt-BR"/>
              </w:rPr>
              <w:t>Informações Técnicas</w:t>
            </w:r>
            <w:r>
              <w:rPr>
                <w:rFonts w:ascii="Arial" w:hAnsi="Arial" w:cs="Arial"/>
                <w:color w:val="000000"/>
                <w:lang w:eastAsia="pt-BR"/>
              </w:rPr>
              <w:t>: Altura: 134 cm, Largura: 121 cm, Profundidade: 47 cm</w:t>
            </w:r>
          </w:p>
        </w:tc>
        <w:tc>
          <w:tcPr>
            <w:tcW w:w="1304" w:type="dxa"/>
            <w:tcBorders>
              <w:top w:val="single" w:color="auto" w:sz="12" w:space="0"/>
              <w:left w:val="single" w:color="auto" w:sz="12" w:space="0"/>
              <w:bottom w:val="single" w:color="auto" w:sz="12" w:space="0"/>
              <w:right w:val="single" w:color="auto" w:sz="12" w:space="0"/>
            </w:tcBorders>
            <w:vAlign w:val="center"/>
          </w:tcPr>
          <w:p w14:paraId="0CF8F6F5">
            <w:pPr>
              <w:spacing w:line="360" w:lineRule="auto"/>
              <w:jc w:val="center"/>
              <w:rPr>
                <w:b/>
                <w:sz w:val="24"/>
                <w:szCs w:val="24"/>
              </w:rPr>
            </w:pPr>
            <w:r>
              <w:rPr>
                <w:sz w:val="24"/>
                <w:szCs w:val="24"/>
              </w:rPr>
              <w:t>R$ 451,76</w:t>
            </w:r>
          </w:p>
        </w:tc>
        <w:tc>
          <w:tcPr>
            <w:tcW w:w="1417" w:type="dxa"/>
            <w:tcBorders>
              <w:top w:val="single" w:color="auto" w:sz="12" w:space="0"/>
              <w:left w:val="single" w:color="auto" w:sz="12" w:space="0"/>
              <w:bottom w:val="single" w:color="auto" w:sz="12" w:space="0"/>
              <w:right w:val="single" w:color="auto" w:sz="12" w:space="0"/>
            </w:tcBorders>
            <w:vAlign w:val="center"/>
          </w:tcPr>
          <w:p w14:paraId="4626CEC6">
            <w:pPr>
              <w:spacing w:line="360" w:lineRule="auto"/>
              <w:jc w:val="center"/>
              <w:rPr>
                <w:b/>
                <w:sz w:val="24"/>
                <w:szCs w:val="24"/>
              </w:rPr>
            </w:pPr>
            <w:r>
              <w:rPr>
                <w:sz w:val="24"/>
                <w:szCs w:val="24"/>
              </w:rPr>
              <w:t>R$903,52</w:t>
            </w:r>
          </w:p>
        </w:tc>
      </w:tr>
      <w:tr w14:paraId="50EED005">
        <w:tblPrEx>
          <w:tblCellMar>
            <w:top w:w="0" w:type="dxa"/>
            <w:left w:w="70" w:type="dxa"/>
            <w:bottom w:w="0" w:type="dxa"/>
            <w:right w:w="70" w:type="dxa"/>
          </w:tblCellMar>
        </w:tblPrEx>
        <w:trPr>
          <w:trHeight w:val="397" w:hRule="atLeast"/>
        </w:trPr>
        <w:tc>
          <w:tcPr>
            <w:tcW w:w="737" w:type="dxa"/>
            <w:tcBorders>
              <w:top w:val="single" w:color="auto" w:sz="12" w:space="0"/>
              <w:left w:val="single" w:color="auto" w:sz="12" w:space="0"/>
              <w:bottom w:val="single" w:color="auto" w:sz="12" w:space="0"/>
              <w:right w:val="single" w:color="auto" w:sz="12" w:space="0"/>
            </w:tcBorders>
            <w:shd w:val="clear" w:color="auto" w:fill="auto"/>
            <w:vAlign w:val="center"/>
          </w:tcPr>
          <w:p w14:paraId="4767E3DA">
            <w:pPr>
              <w:numPr>
                <w:ilvl w:val="0"/>
                <w:numId w:val="15"/>
              </w:numPr>
              <w:suppressAutoHyphens w:val="0"/>
              <w:ind w:left="530"/>
              <w:jc w:val="center"/>
              <w:rPr>
                <w:color w:val="000000"/>
                <w:sz w:val="24"/>
                <w:szCs w:val="24"/>
                <w:lang w:eastAsia="pt-BR"/>
              </w:rPr>
            </w:pPr>
          </w:p>
        </w:tc>
        <w:tc>
          <w:tcPr>
            <w:tcW w:w="992" w:type="dxa"/>
            <w:tcBorders>
              <w:top w:val="single" w:color="auto" w:sz="12" w:space="0"/>
              <w:left w:val="nil"/>
              <w:bottom w:val="single" w:color="auto" w:sz="12" w:space="0"/>
              <w:right w:val="single" w:color="auto" w:sz="12" w:space="0"/>
            </w:tcBorders>
            <w:shd w:val="clear" w:color="auto" w:fill="auto"/>
            <w:vAlign w:val="center"/>
          </w:tcPr>
          <w:p w14:paraId="779CEC39">
            <w:pPr>
              <w:jc w:val="center"/>
              <w:textAlignment w:val="baseline"/>
              <w:rPr>
                <w:sz w:val="24"/>
                <w:szCs w:val="24"/>
              </w:rPr>
            </w:pPr>
            <w:r>
              <w:rPr>
                <w:color w:val="000000" w:themeColor="text1"/>
                <w:sz w:val="24"/>
                <w:szCs w:val="24"/>
                <w14:textFill>
                  <w14:solidFill>
                    <w14:schemeClr w14:val="tx1"/>
                  </w14:solidFill>
                </w14:textFill>
              </w:rPr>
              <w:t>2</w:t>
            </w:r>
          </w:p>
        </w:tc>
        <w:tc>
          <w:tcPr>
            <w:tcW w:w="737" w:type="dxa"/>
            <w:tcBorders>
              <w:top w:val="single" w:color="auto" w:sz="12" w:space="0"/>
              <w:left w:val="nil"/>
              <w:bottom w:val="single" w:color="auto" w:sz="12" w:space="0"/>
              <w:right w:val="single" w:color="auto" w:sz="12" w:space="0"/>
            </w:tcBorders>
            <w:vAlign w:val="center"/>
          </w:tcPr>
          <w:p w14:paraId="5A1F323A">
            <w:pPr>
              <w:jc w:val="center"/>
              <w:rPr>
                <w:sz w:val="24"/>
                <w:szCs w:val="24"/>
              </w:rPr>
            </w:pPr>
            <w:r>
              <w:rPr>
                <w:sz w:val="24"/>
                <w:szCs w:val="24"/>
              </w:rPr>
              <w:t>UND</w:t>
            </w:r>
          </w:p>
        </w:tc>
        <w:tc>
          <w:tcPr>
            <w:tcW w:w="3912" w:type="dxa"/>
            <w:tcBorders>
              <w:top w:val="single" w:color="auto" w:sz="12" w:space="0"/>
              <w:left w:val="single" w:color="auto" w:sz="12" w:space="0"/>
              <w:bottom w:val="single" w:color="auto" w:sz="12" w:space="0"/>
              <w:right w:val="single" w:color="auto" w:sz="12" w:space="0"/>
            </w:tcBorders>
            <w:vAlign w:val="center"/>
          </w:tcPr>
          <w:p w14:paraId="00629999">
            <w:pPr>
              <w:spacing w:before="60" w:after="60"/>
              <w:rPr>
                <w:rFonts w:ascii="Arial" w:hAnsi="Arial" w:cs="Arial"/>
                <w:color w:val="000000"/>
                <w:lang w:eastAsia="pt-BR"/>
              </w:rPr>
            </w:pPr>
            <w:r>
              <w:rPr>
                <w:rFonts w:ascii="Arial" w:hAnsi="Arial" w:cs="Arial"/>
                <w:b/>
                <w:bCs/>
                <w:sz w:val="24"/>
                <w:szCs w:val="24"/>
                <w:lang w:eastAsia="pt-BR"/>
              </w:rPr>
              <w:t xml:space="preserve">Conjunto FNDE Refeitório M4C-03 </w:t>
            </w:r>
            <w:r>
              <w:rPr>
                <w:rFonts w:ascii="Arial" w:hAnsi="Arial" w:cs="Arial"/>
                <w:color w:val="000000"/>
                <w:lang w:eastAsia="pt-BR"/>
              </w:rPr>
              <w:t>Mesa: estrutura com pés em tubo de aço 1 1/2" em chapa 16 (1,5mm). Ref: M4C-03 Mesa.Travessa longitudinal em tubo de aço 40x40mm em chapa 16 (1,5mm). Travessas transversais em tubo de secção retangular 20x50mm em chapa 16 (1,5mm). Suportes estruturais e de fixação do tampo em chapa de aço espessura de 3mm. Aletas de fixação do tampo em chapa de aço 14 (1,9mm). Fixação do tampo à estruturas através de 02 parafusos 4.5x50 FH chato dourado e parafusos para aglomerado, de 4,5mm x 22mm, cabeça panela, fenda Phillips, bicromatizados. Ponteiras e sapatas em polipropileno copolímero virgem e sem cargas, injetadas na cor amarela fixadas à estrutura através de encaixe. Tampo(1200x600mm) em madeira aglomerada (MDP) espessura de 25mm, revestido na face superior em laminado melamínico de alta pressão, 0,8mm de espessura, acabamento frost, na cor branca. Revestimento na face inferior em laminado melamínico de baixa pressão - BP, acabamento frost, na cor branca. Topos transversais e longitudinais encabeçados com fita de bordo em PVC com primer, 29mm (largura) x 3mm (espessura), na cor amarela coladas com adesivo "Hot Melting". Altura 590mm.</w:t>
            </w:r>
          </w:p>
          <w:p w14:paraId="79D6CE15">
            <w:pPr>
              <w:jc w:val="both"/>
              <w:rPr>
                <w:sz w:val="24"/>
                <w:szCs w:val="24"/>
              </w:rPr>
            </w:pPr>
          </w:p>
        </w:tc>
        <w:tc>
          <w:tcPr>
            <w:tcW w:w="1304" w:type="dxa"/>
            <w:tcBorders>
              <w:top w:val="single" w:color="auto" w:sz="12" w:space="0"/>
              <w:left w:val="single" w:color="auto" w:sz="12" w:space="0"/>
              <w:bottom w:val="single" w:color="auto" w:sz="12" w:space="0"/>
              <w:right w:val="single" w:color="auto" w:sz="12" w:space="0"/>
            </w:tcBorders>
            <w:vAlign w:val="center"/>
          </w:tcPr>
          <w:p w14:paraId="40ACF4DD">
            <w:pPr>
              <w:spacing w:line="360" w:lineRule="auto"/>
              <w:jc w:val="center"/>
              <w:rPr>
                <w:b/>
                <w:sz w:val="24"/>
                <w:szCs w:val="24"/>
              </w:rPr>
            </w:pPr>
            <w:r>
              <w:rPr>
                <w:sz w:val="24"/>
                <w:szCs w:val="24"/>
              </w:rPr>
              <w:t>R$858,67</w:t>
            </w:r>
          </w:p>
        </w:tc>
        <w:tc>
          <w:tcPr>
            <w:tcW w:w="1417" w:type="dxa"/>
            <w:tcBorders>
              <w:top w:val="single" w:color="auto" w:sz="12" w:space="0"/>
              <w:left w:val="single" w:color="auto" w:sz="12" w:space="0"/>
              <w:bottom w:val="single" w:color="auto" w:sz="12" w:space="0"/>
              <w:right w:val="single" w:color="auto" w:sz="12" w:space="0"/>
            </w:tcBorders>
            <w:vAlign w:val="center"/>
          </w:tcPr>
          <w:p w14:paraId="463A983A">
            <w:pPr>
              <w:spacing w:line="360" w:lineRule="auto"/>
              <w:jc w:val="center"/>
              <w:rPr>
                <w:b/>
                <w:sz w:val="24"/>
                <w:szCs w:val="24"/>
              </w:rPr>
            </w:pPr>
            <w:r>
              <w:rPr>
                <w:sz w:val="24"/>
                <w:szCs w:val="24"/>
              </w:rPr>
              <w:t>R$</w:t>
            </w:r>
            <w:r>
              <w:t xml:space="preserve"> </w:t>
            </w:r>
            <w:r>
              <w:rPr>
                <w:sz w:val="24"/>
                <w:szCs w:val="24"/>
              </w:rPr>
              <w:t>1.717,34</w:t>
            </w:r>
          </w:p>
        </w:tc>
      </w:tr>
      <w:bookmarkEnd w:id="6"/>
    </w:tbl>
    <w:p w14:paraId="4223246D">
      <w:pPr>
        <w:pStyle w:val="17"/>
        <w:widowControl w:val="0"/>
        <w:autoSpaceDE w:val="0"/>
        <w:autoSpaceDN w:val="0"/>
        <w:spacing w:after="0" w:line="360" w:lineRule="auto"/>
        <w:ind w:left="0"/>
        <w:contextualSpacing w:val="0"/>
        <w:jc w:val="both"/>
        <w:rPr>
          <w:rFonts w:ascii="Arial" w:hAnsi="Arial" w:cs="Arial"/>
          <w:sz w:val="24"/>
          <w:szCs w:val="24"/>
          <w:highlight w:val="yellow"/>
        </w:rPr>
      </w:pPr>
    </w:p>
    <w:p w14:paraId="029249D5">
      <w:pPr>
        <w:pStyle w:val="17"/>
        <w:widowControl w:val="0"/>
        <w:autoSpaceDE w:val="0"/>
        <w:autoSpaceDN w:val="0"/>
        <w:spacing w:line="360" w:lineRule="auto"/>
        <w:jc w:val="both"/>
        <w:rPr>
          <w:rFonts w:ascii="Arial" w:hAnsi="Arial" w:cs="Arial"/>
          <w:sz w:val="24"/>
          <w:szCs w:val="24"/>
        </w:rPr>
      </w:pPr>
    </w:p>
    <w:p w14:paraId="12D43A0D">
      <w:pPr>
        <w:pStyle w:val="17"/>
        <w:widowControl w:val="0"/>
        <w:autoSpaceDE w:val="0"/>
        <w:autoSpaceDN w:val="0"/>
        <w:spacing w:line="360" w:lineRule="auto"/>
        <w:jc w:val="both"/>
        <w:rPr>
          <w:rFonts w:ascii="Arial" w:hAnsi="Arial" w:cs="Arial"/>
          <w:sz w:val="24"/>
          <w:szCs w:val="24"/>
        </w:rPr>
      </w:pPr>
    </w:p>
    <w:p w14:paraId="72346361">
      <w:pPr>
        <w:pStyle w:val="17"/>
        <w:widowControl w:val="0"/>
        <w:autoSpaceDE w:val="0"/>
        <w:autoSpaceDN w:val="0"/>
        <w:spacing w:line="360" w:lineRule="auto"/>
        <w:jc w:val="both"/>
        <w:rPr>
          <w:rFonts w:ascii="Arial" w:hAnsi="Arial" w:cs="Arial"/>
          <w:b/>
        </w:rPr>
      </w:pPr>
      <w:r>
        <w:rPr>
          <w:rFonts w:ascii="Arial" w:hAnsi="Arial" w:cs="Arial"/>
          <w:sz w:val="24"/>
          <w:szCs w:val="24"/>
        </w:rPr>
        <w:t>9.2 Em observância ao art. 23, §1º, II, da Lei 14.133/21, com base no levantamento de mercador) temos a estimativa do valor da contratação da</w:t>
      </w:r>
      <w:r>
        <w:rPr>
          <w:rFonts w:ascii="Arial" w:hAnsi="Arial" w:cs="Arial"/>
          <w:b/>
        </w:rPr>
        <w:t xml:space="preserve"> soma dos valores:</w:t>
      </w:r>
    </w:p>
    <w:p w14:paraId="5ED56564">
      <w:pPr>
        <w:pStyle w:val="17"/>
        <w:widowControl w:val="0"/>
        <w:numPr>
          <w:ilvl w:val="0"/>
          <w:numId w:val="16"/>
        </w:numPr>
        <w:autoSpaceDE w:val="0"/>
        <w:autoSpaceDN w:val="0"/>
        <w:spacing w:after="0" w:line="360" w:lineRule="auto"/>
        <w:jc w:val="both"/>
        <w:rPr>
          <w:rFonts w:ascii="Arial" w:hAnsi="Arial" w:cs="Arial"/>
          <w:b/>
          <w:sz w:val="24"/>
          <w:szCs w:val="24"/>
        </w:rPr>
      </w:pPr>
      <w:r>
        <w:rPr>
          <w:rFonts w:ascii="Arial" w:hAnsi="Arial" w:cs="Arial"/>
          <w:b/>
          <w:sz w:val="24"/>
          <w:szCs w:val="24"/>
        </w:rPr>
        <w:t>R$ 14.761,50</w:t>
      </w:r>
    </w:p>
    <w:p w14:paraId="3B9F8F8F">
      <w:pPr>
        <w:pStyle w:val="17"/>
        <w:widowControl w:val="0"/>
        <w:numPr>
          <w:ilvl w:val="0"/>
          <w:numId w:val="16"/>
        </w:numPr>
        <w:autoSpaceDE w:val="0"/>
        <w:autoSpaceDN w:val="0"/>
        <w:spacing w:after="0" w:line="360" w:lineRule="auto"/>
        <w:jc w:val="both"/>
        <w:rPr>
          <w:rFonts w:ascii="Arial" w:hAnsi="Arial" w:cs="Arial"/>
          <w:b/>
          <w:sz w:val="24"/>
          <w:szCs w:val="24"/>
        </w:rPr>
      </w:pPr>
      <w:r>
        <w:rPr>
          <w:rFonts w:ascii="Arial" w:hAnsi="Arial" w:cs="Arial"/>
          <w:b/>
          <w:sz w:val="24"/>
          <w:szCs w:val="24"/>
        </w:rPr>
        <w:t>R$ 903,52</w:t>
      </w:r>
    </w:p>
    <w:p w14:paraId="73533FCE">
      <w:pPr>
        <w:pStyle w:val="17"/>
        <w:widowControl w:val="0"/>
        <w:numPr>
          <w:ilvl w:val="0"/>
          <w:numId w:val="16"/>
        </w:numPr>
        <w:autoSpaceDE w:val="0"/>
        <w:autoSpaceDN w:val="0"/>
        <w:spacing w:after="0" w:line="360" w:lineRule="auto"/>
        <w:jc w:val="both"/>
        <w:rPr>
          <w:rFonts w:ascii="Arial" w:hAnsi="Arial" w:cs="Arial"/>
          <w:b/>
          <w:sz w:val="24"/>
          <w:szCs w:val="24"/>
        </w:rPr>
      </w:pPr>
      <w:r>
        <w:rPr>
          <w:rFonts w:ascii="Arial" w:hAnsi="Arial" w:cs="Arial"/>
          <w:b/>
          <w:sz w:val="24"/>
          <w:szCs w:val="24"/>
        </w:rPr>
        <w:t>R$ 1.717,34</w:t>
      </w:r>
    </w:p>
    <w:p w14:paraId="5BC3C063">
      <w:pPr>
        <w:widowControl w:val="0"/>
        <w:autoSpaceDE w:val="0"/>
        <w:autoSpaceDN w:val="0"/>
        <w:spacing w:line="360" w:lineRule="auto"/>
        <w:ind w:left="360"/>
        <w:jc w:val="both"/>
        <w:rPr>
          <w:rFonts w:ascii="Arial" w:hAnsi="Arial" w:cs="Arial" w:eastAsiaTheme="minorHAnsi"/>
          <w:b/>
          <w:sz w:val="24"/>
          <w:szCs w:val="24"/>
        </w:rPr>
      </w:pPr>
      <w:r>
        <w:rPr>
          <w:rFonts w:ascii="Arial" w:hAnsi="Arial" w:cs="Arial"/>
          <w:b/>
          <w:sz w:val="24"/>
          <w:szCs w:val="24"/>
        </w:rPr>
        <w:t xml:space="preserve">     Totalizando: </w:t>
      </w:r>
      <w:r>
        <w:rPr>
          <w:rFonts w:ascii="Arial" w:hAnsi="Arial" w:cs="Arial" w:eastAsiaTheme="minorHAnsi"/>
          <w:b/>
          <w:sz w:val="24"/>
          <w:szCs w:val="24"/>
        </w:rPr>
        <w:t xml:space="preserve"> </w:t>
      </w:r>
      <w:r>
        <w:rPr>
          <w:rFonts w:ascii="Arial" w:hAnsi="Arial" w:cs="Arial" w:eastAsiaTheme="minorHAnsi"/>
          <w:b/>
          <w:bCs/>
          <w:sz w:val="24"/>
          <w:szCs w:val="24"/>
        </w:rPr>
        <w:t>R$ 17.382,36</w:t>
      </w:r>
      <w:r>
        <w:rPr>
          <w:rFonts w:ascii="Arial" w:hAnsi="Arial" w:cs="Arial" w:eastAsiaTheme="minorHAnsi"/>
          <w:b/>
          <w:sz w:val="24"/>
          <w:szCs w:val="24"/>
        </w:rPr>
        <w:t>.</w:t>
      </w:r>
    </w:p>
    <w:p w14:paraId="1852AA71">
      <w:pPr>
        <w:pStyle w:val="17"/>
        <w:widowControl w:val="0"/>
        <w:autoSpaceDE w:val="0"/>
        <w:autoSpaceDN w:val="0"/>
        <w:spacing w:line="360" w:lineRule="auto"/>
        <w:jc w:val="both"/>
        <w:rPr>
          <w:rFonts w:ascii="Arial" w:hAnsi="Arial" w:cs="Arial"/>
        </w:rPr>
      </w:pPr>
      <w:r>
        <w:rPr>
          <w:rFonts w:ascii="Arial" w:hAnsi="Arial" w:cs="Arial"/>
          <w:sz w:val="24"/>
          <w:szCs w:val="24"/>
        </w:rPr>
        <w:t xml:space="preserve">(Dezessete mil, trezentos e oitenta e dois reais e trinta e seis centavos.). </w:t>
      </w:r>
    </w:p>
    <w:p w14:paraId="59FDD6F4">
      <w:pPr>
        <w:spacing w:line="360" w:lineRule="auto"/>
        <w:jc w:val="both"/>
        <w:rPr>
          <w:rFonts w:ascii="Arial" w:hAnsi="Arial" w:cs="Arial"/>
          <w:b/>
          <w:bCs/>
          <w:sz w:val="24"/>
          <w:szCs w:val="24"/>
          <w:highlight w:val="magenta"/>
        </w:rPr>
      </w:pPr>
    </w:p>
    <w:p w14:paraId="4FDB051D">
      <w:pPr>
        <w:spacing w:line="360" w:lineRule="auto"/>
        <w:jc w:val="both"/>
        <w:rPr>
          <w:rFonts w:ascii="Arial" w:hAnsi="Arial" w:cs="Arial"/>
          <w:b/>
          <w:bCs/>
          <w:sz w:val="24"/>
          <w:szCs w:val="24"/>
          <w:highlight w:val="magenta"/>
        </w:rPr>
      </w:pPr>
    </w:p>
    <w:p w14:paraId="01E15183">
      <w:pPr>
        <w:spacing w:line="360" w:lineRule="auto"/>
        <w:jc w:val="both"/>
        <w:rPr>
          <w:rFonts w:ascii="Arial" w:hAnsi="Arial" w:cs="Arial"/>
          <w:b/>
          <w:bCs/>
          <w:sz w:val="24"/>
          <w:szCs w:val="24"/>
          <w:highlight w:val="magenta"/>
        </w:rPr>
      </w:pPr>
    </w:p>
    <w:p w14:paraId="34FEA4B8">
      <w:pPr>
        <w:spacing w:line="360" w:lineRule="auto"/>
        <w:jc w:val="both"/>
        <w:rPr>
          <w:rFonts w:ascii="Arial" w:hAnsi="Arial" w:cs="Arial"/>
          <w:b/>
          <w:bCs/>
          <w:sz w:val="24"/>
          <w:szCs w:val="24"/>
        </w:rPr>
      </w:pPr>
      <w:r>
        <w:rPr>
          <w:rFonts w:ascii="Arial" w:hAnsi="Arial" w:cs="Arial"/>
          <w:b/>
          <w:bCs/>
          <w:sz w:val="24"/>
          <w:szCs w:val="24"/>
        </w:rPr>
        <w:t>10 - Adequação orçamentária;</w:t>
      </w:r>
    </w:p>
    <w:p w14:paraId="3214B140">
      <w:pPr>
        <w:spacing w:line="360" w:lineRule="auto"/>
        <w:jc w:val="both"/>
        <w:rPr>
          <w:rFonts w:ascii="Arial" w:hAnsi="Arial" w:cs="Arial"/>
          <w:b/>
          <w:bCs/>
          <w:sz w:val="24"/>
          <w:szCs w:val="24"/>
          <w:highlight w:val="yellow"/>
        </w:rPr>
      </w:pPr>
    </w:p>
    <w:p w14:paraId="2FEABA00">
      <w:pPr>
        <w:spacing w:line="360" w:lineRule="auto"/>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CÓDIGO DA FICHA: 145</w:t>
      </w:r>
    </w:p>
    <w:p w14:paraId="54A4C6EC">
      <w:pPr>
        <w:spacing w:line="360" w:lineRule="auto"/>
        <w:jc w:val="both"/>
        <w:rPr>
          <w:rFonts w:ascii="Arial" w:hAnsi="Arial" w:cs="Arial"/>
          <w:sz w:val="24"/>
          <w:szCs w:val="24"/>
        </w:rPr>
      </w:pPr>
      <w:r>
        <w:rPr>
          <w:rFonts w:ascii="Arial" w:hAnsi="Arial" w:cs="Arial"/>
          <w:sz w:val="24"/>
          <w:szCs w:val="24"/>
        </w:rPr>
        <w:t>Órgão: 02 PREFEITURA MUNICIPAL</w:t>
      </w:r>
    </w:p>
    <w:p w14:paraId="7F4DC4BC">
      <w:pPr>
        <w:spacing w:line="360" w:lineRule="auto"/>
        <w:jc w:val="both"/>
        <w:rPr>
          <w:rFonts w:ascii="Arial" w:hAnsi="Arial" w:cs="Arial"/>
          <w:sz w:val="24"/>
          <w:szCs w:val="24"/>
        </w:rPr>
      </w:pPr>
      <w:r>
        <w:rPr>
          <w:rFonts w:ascii="Arial" w:hAnsi="Arial" w:cs="Arial"/>
          <w:sz w:val="24"/>
          <w:szCs w:val="24"/>
        </w:rPr>
        <w:t>Unidade: 08 SECRETARIA MUNICIPAL DE EDUCAÇÃO</w:t>
      </w:r>
    </w:p>
    <w:p w14:paraId="38FD6BB5">
      <w:pPr>
        <w:spacing w:line="360" w:lineRule="auto"/>
        <w:jc w:val="both"/>
        <w:rPr>
          <w:rFonts w:ascii="Arial" w:hAnsi="Arial" w:cs="Arial"/>
          <w:sz w:val="24"/>
          <w:szCs w:val="24"/>
        </w:rPr>
      </w:pPr>
      <w:r>
        <w:rPr>
          <w:rFonts w:ascii="Arial" w:hAnsi="Arial" w:cs="Arial"/>
          <w:sz w:val="24"/>
          <w:szCs w:val="24"/>
        </w:rPr>
        <w:t>Dotação: 12.361.0011.2009.0220</w:t>
      </w:r>
    </w:p>
    <w:p w14:paraId="6293E45E">
      <w:pPr>
        <w:spacing w:line="360" w:lineRule="auto"/>
        <w:jc w:val="both"/>
        <w:rPr>
          <w:rFonts w:ascii="Arial" w:hAnsi="Arial" w:cs="Arial"/>
          <w:sz w:val="24"/>
          <w:szCs w:val="24"/>
        </w:rPr>
      </w:pPr>
      <w:r>
        <w:rPr>
          <w:rFonts w:ascii="Arial" w:hAnsi="Arial" w:cs="Arial"/>
          <w:sz w:val="24"/>
          <w:szCs w:val="24"/>
        </w:rPr>
        <w:t xml:space="preserve">Desenvolvimento e Manutenção do </w:t>
      </w:r>
    </w:p>
    <w:p w14:paraId="7EF29F4E">
      <w:pPr>
        <w:spacing w:line="360" w:lineRule="auto"/>
        <w:jc w:val="both"/>
        <w:rPr>
          <w:rFonts w:ascii="Arial" w:hAnsi="Arial" w:cs="Arial"/>
          <w:sz w:val="24"/>
          <w:szCs w:val="24"/>
        </w:rPr>
      </w:pPr>
      <w:r>
        <w:rPr>
          <w:rFonts w:ascii="Arial" w:hAnsi="Arial" w:cs="Arial"/>
          <w:sz w:val="24"/>
          <w:szCs w:val="24"/>
        </w:rPr>
        <w:t xml:space="preserve">4.4.90.52.00 EQUIPAMENTOS E MATERIAL PERMANENTE </w:t>
      </w:r>
    </w:p>
    <w:p w14:paraId="7E39B7C0">
      <w:pPr>
        <w:spacing w:line="360" w:lineRule="auto"/>
        <w:jc w:val="both"/>
        <w:rPr>
          <w:rFonts w:ascii="Arial" w:hAnsi="Arial" w:cs="Arial"/>
          <w:bCs/>
          <w:sz w:val="24"/>
          <w:szCs w:val="24"/>
        </w:rPr>
      </w:pPr>
    </w:p>
    <w:p w14:paraId="336554D6">
      <w:pPr>
        <w:spacing w:line="360" w:lineRule="auto"/>
        <w:jc w:val="both"/>
        <w:rPr>
          <w:rFonts w:ascii="Arial" w:hAnsi="Arial" w:cs="Arial"/>
          <w:sz w:val="24"/>
          <w:szCs w:val="24"/>
        </w:rPr>
      </w:pPr>
      <w:r>
        <w:rPr>
          <w:rFonts w:ascii="Arial" w:hAnsi="Arial" w:cs="Arial"/>
          <w:sz w:val="24"/>
          <w:szCs w:val="24"/>
        </w:rPr>
        <w:t>CÓDIGO DA FICHA: 100</w:t>
      </w:r>
    </w:p>
    <w:p w14:paraId="5CDC4E88">
      <w:pPr>
        <w:spacing w:line="360" w:lineRule="auto"/>
        <w:jc w:val="both"/>
        <w:rPr>
          <w:rFonts w:ascii="Arial" w:hAnsi="Arial" w:cs="Arial"/>
          <w:sz w:val="24"/>
          <w:szCs w:val="24"/>
        </w:rPr>
      </w:pPr>
      <w:r>
        <w:rPr>
          <w:rFonts w:ascii="Arial" w:hAnsi="Arial" w:cs="Arial"/>
          <w:sz w:val="24"/>
          <w:szCs w:val="24"/>
        </w:rPr>
        <w:t>Órgão: 02 PREFEITURA MUNICIPAL</w:t>
      </w:r>
    </w:p>
    <w:p w14:paraId="5EC18008">
      <w:pPr>
        <w:spacing w:line="360" w:lineRule="auto"/>
        <w:jc w:val="both"/>
        <w:rPr>
          <w:rFonts w:ascii="Arial" w:hAnsi="Arial" w:cs="Arial"/>
          <w:sz w:val="24"/>
          <w:szCs w:val="24"/>
        </w:rPr>
      </w:pPr>
      <w:r>
        <w:rPr>
          <w:rFonts w:ascii="Arial" w:hAnsi="Arial" w:cs="Arial"/>
          <w:sz w:val="24"/>
          <w:szCs w:val="24"/>
        </w:rPr>
        <w:t>Unidade: 08 SECRETARIA MUNICIPAL DE EDUCAÇÃO</w:t>
      </w:r>
    </w:p>
    <w:p w14:paraId="2798A9EE">
      <w:pPr>
        <w:spacing w:line="360" w:lineRule="auto"/>
        <w:jc w:val="both"/>
        <w:rPr>
          <w:rFonts w:ascii="Arial" w:hAnsi="Arial" w:cs="Arial"/>
          <w:sz w:val="24"/>
          <w:szCs w:val="24"/>
        </w:rPr>
      </w:pPr>
      <w:r>
        <w:rPr>
          <w:rFonts w:ascii="Arial" w:hAnsi="Arial" w:cs="Arial"/>
          <w:sz w:val="24"/>
          <w:szCs w:val="24"/>
        </w:rPr>
        <w:t>Dotação: 12.365.0011.2027.0212</w:t>
      </w:r>
    </w:p>
    <w:p w14:paraId="6D90607B">
      <w:pPr>
        <w:spacing w:line="360" w:lineRule="auto"/>
        <w:jc w:val="both"/>
        <w:rPr>
          <w:rFonts w:ascii="Arial" w:hAnsi="Arial" w:cs="Arial"/>
          <w:sz w:val="24"/>
          <w:szCs w:val="24"/>
        </w:rPr>
      </w:pPr>
      <w:r>
        <w:rPr>
          <w:rFonts w:ascii="Arial" w:hAnsi="Arial" w:cs="Arial"/>
          <w:sz w:val="24"/>
          <w:szCs w:val="24"/>
        </w:rPr>
        <w:t xml:space="preserve">Manutenção do Ensino Infantil </w:t>
      </w:r>
    </w:p>
    <w:p w14:paraId="6781372D">
      <w:pPr>
        <w:spacing w:line="360" w:lineRule="auto"/>
        <w:jc w:val="both"/>
        <w:rPr>
          <w:rFonts w:ascii="Arial" w:hAnsi="Arial" w:cs="Arial"/>
          <w:bCs/>
          <w:sz w:val="24"/>
          <w:szCs w:val="24"/>
        </w:rPr>
      </w:pPr>
      <w:r>
        <w:rPr>
          <w:rFonts w:ascii="Arial" w:hAnsi="Arial" w:cs="Arial"/>
          <w:bCs/>
          <w:sz w:val="24"/>
          <w:szCs w:val="24"/>
        </w:rPr>
        <w:t xml:space="preserve">4.4.90.52.00 EQUIPAMENTOS E MATERIAL PERMANENTE  </w:t>
      </w:r>
    </w:p>
    <w:p w14:paraId="6EE14E8D">
      <w:pPr>
        <w:spacing w:line="360" w:lineRule="auto"/>
        <w:jc w:val="both"/>
        <w:rPr>
          <w:rFonts w:ascii="Arial" w:hAnsi="Arial" w:eastAsia="Arial-BoldMT" w:cs="Arial"/>
          <w:b/>
          <w:bCs/>
          <w:sz w:val="24"/>
          <w:szCs w:val="24"/>
          <w:highlight w:val="yellow"/>
        </w:rPr>
      </w:pPr>
    </w:p>
    <w:p w14:paraId="09265A0D">
      <w:pPr>
        <w:spacing w:line="360" w:lineRule="auto"/>
        <w:jc w:val="both"/>
        <w:rPr>
          <w:rFonts w:ascii="Arial" w:hAnsi="Arial" w:eastAsia="Arial-BoldMT" w:cs="Arial"/>
          <w:b/>
          <w:bCs/>
          <w:sz w:val="24"/>
          <w:szCs w:val="24"/>
          <w:highlight w:val="yellow"/>
        </w:rPr>
      </w:pPr>
    </w:p>
    <w:p w14:paraId="33D678F1">
      <w:pPr>
        <w:spacing w:line="360" w:lineRule="auto"/>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376D5D4C">
      <w:pPr>
        <w:spacing w:line="360" w:lineRule="auto"/>
        <w:jc w:val="both"/>
        <w:rPr>
          <w:rFonts w:ascii="Arial" w:hAnsi="Arial" w:eastAsia="Arial-BoldMT" w:cs="Arial"/>
          <w:b/>
          <w:bCs/>
          <w:sz w:val="24"/>
          <w:szCs w:val="24"/>
          <w:highlight w:val="yellow"/>
        </w:rPr>
      </w:pPr>
    </w:p>
    <w:p w14:paraId="2EB56992">
      <w:pPr>
        <w:adjustRightInd w:val="0"/>
        <w:spacing w:line="360" w:lineRule="auto"/>
        <w:jc w:val="both"/>
        <w:rPr>
          <w:rFonts w:ascii="Arial" w:hAnsi="Arial" w:eastAsia="Arial-BoldMT" w:cs="Arial"/>
          <w:b/>
          <w:bCs/>
          <w:sz w:val="24"/>
          <w:szCs w:val="24"/>
          <w:highlight w:val="yellow"/>
        </w:rPr>
      </w:pPr>
      <w:r>
        <w:rPr>
          <w:rFonts w:ascii="Arial" w:hAnsi="Arial" w:eastAsia="Calibri" w:cs="Arial"/>
          <w:sz w:val="24"/>
          <w:szCs w:val="24"/>
        </w:rPr>
        <w:t>As especificações dos produtos desta contratação estão descritas de forma detalhada na tabela apresentada no Item 1 deste Termo de Referência.</w:t>
      </w:r>
    </w:p>
    <w:p w14:paraId="10CCEB11">
      <w:pPr>
        <w:jc w:val="both"/>
        <w:rPr>
          <w:rFonts w:ascii="Arial" w:hAnsi="Arial" w:eastAsia="Arial-BoldMT" w:cs="Arial"/>
          <w:sz w:val="24"/>
          <w:szCs w:val="24"/>
        </w:rPr>
      </w:pPr>
    </w:p>
    <w:p w14:paraId="40549CD0">
      <w:pPr>
        <w:jc w:val="both"/>
        <w:rPr>
          <w:rFonts w:ascii="Arial" w:hAnsi="Arial" w:eastAsia="Arial-BoldMT" w:cs="Arial"/>
          <w:sz w:val="24"/>
          <w:szCs w:val="24"/>
        </w:rPr>
      </w:pPr>
    </w:p>
    <w:p w14:paraId="612D65AF">
      <w:pPr>
        <w:jc w:val="both"/>
        <w:rPr>
          <w:rFonts w:ascii="Arial" w:hAnsi="Arial" w:eastAsia="Arial-BoldMT" w:cs="Arial"/>
          <w:sz w:val="24"/>
          <w:szCs w:val="24"/>
        </w:rPr>
      </w:pPr>
    </w:p>
    <w:p w14:paraId="20629CA1">
      <w:pPr>
        <w:spacing w:line="360" w:lineRule="auto"/>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2D641B17">
      <w:pPr>
        <w:spacing w:line="360" w:lineRule="auto"/>
        <w:jc w:val="both"/>
        <w:rPr>
          <w:rFonts w:ascii="Arial" w:hAnsi="Arial" w:eastAsia="Arial-BoldMT" w:cs="Arial"/>
          <w:b/>
          <w:bCs/>
          <w:sz w:val="24"/>
          <w:szCs w:val="24"/>
        </w:rPr>
      </w:pPr>
    </w:p>
    <w:p w14:paraId="6B28D047">
      <w:pPr>
        <w:spacing w:line="360" w:lineRule="auto"/>
        <w:jc w:val="both"/>
        <w:rPr>
          <w:rFonts w:ascii="Arial" w:hAnsi="Arial" w:eastAsia="Arial-BoldMT" w:cs="Arial"/>
          <w:sz w:val="24"/>
          <w:szCs w:val="24"/>
        </w:rPr>
      </w:pPr>
      <w:r>
        <w:rPr>
          <w:rFonts w:ascii="Arial" w:hAnsi="Arial" w:eastAsia="Arial-BoldMT" w:cs="Arial"/>
          <w:b/>
          <w:bCs/>
          <w:sz w:val="24"/>
          <w:szCs w:val="24"/>
        </w:rPr>
        <w:t>A entrega será feita em duas localizações,</w:t>
      </w:r>
      <w:r>
        <w:rPr>
          <w:rFonts w:ascii="Arial" w:hAnsi="Arial" w:eastAsia="Arial-BoldMT" w:cs="Arial"/>
          <w:sz w:val="24"/>
          <w:szCs w:val="24"/>
        </w:rPr>
        <w:t xml:space="preserve"> na </w:t>
      </w:r>
      <w:r>
        <w:rPr>
          <w:rFonts w:ascii="Arial" w:hAnsi="Arial" w:eastAsia="Arial-BoldMT" w:cs="Arial"/>
          <w:b/>
          <w:bCs/>
          <w:sz w:val="24"/>
          <w:szCs w:val="24"/>
        </w:rPr>
        <w:t>EMEB João Etchebehere</w:t>
      </w:r>
      <w:r>
        <w:rPr>
          <w:rFonts w:ascii="Arial" w:hAnsi="Arial" w:eastAsia="Arial-BoldMT" w:cs="Arial"/>
          <w:sz w:val="24"/>
          <w:szCs w:val="24"/>
        </w:rPr>
        <w:t xml:space="preserve">, Endereço: Rua Barão de Rifaina - SP, n° 390, Centro, Telefone: 16 3135-1211, no horário das 07h00 às 16h00, em dias úteis (de segunda a sexta-feira). E na </w:t>
      </w:r>
      <w:r>
        <w:rPr>
          <w:rFonts w:ascii="Arial" w:hAnsi="Arial" w:eastAsia="Arial-BoldMT" w:cs="Arial"/>
          <w:b/>
          <w:bCs/>
          <w:sz w:val="24"/>
          <w:szCs w:val="24"/>
        </w:rPr>
        <w:t>Creche Escola Rosinéia</w:t>
      </w:r>
      <w:r>
        <w:rPr>
          <w:rFonts w:ascii="Arial" w:hAnsi="Arial" w:eastAsia="Arial-BoldMT" w:cs="Arial"/>
          <w:b/>
          <w:bCs/>
          <w:sz w:val="22"/>
          <w:szCs w:val="22"/>
        </w:rPr>
        <w:t xml:space="preserve"> </w:t>
      </w:r>
      <w:r>
        <w:rPr>
          <w:rFonts w:ascii="Arial" w:hAnsi="Arial" w:eastAsia="Arial-BoldMT" w:cs="Arial"/>
          <w:b/>
          <w:bCs/>
          <w:sz w:val="24"/>
          <w:szCs w:val="24"/>
        </w:rPr>
        <w:t xml:space="preserve">Marcelino Lourenço, </w:t>
      </w:r>
      <w:r>
        <w:rPr>
          <w:rFonts w:ascii="Arial" w:hAnsi="Arial" w:eastAsia="Arial-BoldMT" w:cs="Arial"/>
          <w:sz w:val="24"/>
          <w:szCs w:val="24"/>
        </w:rPr>
        <w:t>Endereço: Rua Padre César Gardini, n° 43, Centro, no horário das 07h00 às 16h00, em dias úteis (de segunda a sexta-feira). Telefone: 16 3135-1104.</w:t>
      </w:r>
    </w:p>
    <w:p w14:paraId="733A6CC2">
      <w:pPr>
        <w:spacing w:line="360" w:lineRule="auto"/>
        <w:jc w:val="both"/>
        <w:rPr>
          <w:rFonts w:ascii="Arial" w:hAnsi="Arial" w:eastAsia="Arial-BoldMT" w:cs="Arial"/>
          <w:sz w:val="24"/>
          <w:szCs w:val="24"/>
        </w:rPr>
      </w:pPr>
    </w:p>
    <w:p w14:paraId="705E87CA">
      <w:pPr>
        <w:spacing w:line="360" w:lineRule="auto"/>
        <w:jc w:val="both"/>
        <w:rPr>
          <w:rFonts w:ascii="Arial" w:hAnsi="Arial" w:eastAsia="Arial-BoldMT" w:cs="Arial"/>
          <w:sz w:val="24"/>
          <w:szCs w:val="24"/>
        </w:rPr>
      </w:pPr>
    </w:p>
    <w:p w14:paraId="0B88E365">
      <w:pPr>
        <w:spacing w:line="360" w:lineRule="auto"/>
        <w:jc w:val="both"/>
        <w:rPr>
          <w:rFonts w:ascii="Arial" w:hAnsi="Arial" w:eastAsia="Arial-BoldMT" w:cs="Arial"/>
          <w:sz w:val="24"/>
          <w:szCs w:val="24"/>
        </w:rPr>
      </w:pPr>
      <w:r>
        <w:rPr>
          <w:rFonts w:ascii="Arial" w:hAnsi="Arial" w:eastAsia="Arial-BoldMT" w:cs="Arial"/>
          <w:sz w:val="24"/>
          <w:szCs w:val="24"/>
        </w:rPr>
        <w:t>12.1. A Contratada obriga-se a entregar o(s) objeto(s) em conformidade com as especificações descritas neste Termo de Referência.</w:t>
      </w:r>
    </w:p>
    <w:p w14:paraId="3019B9B4">
      <w:pPr>
        <w:spacing w:line="360" w:lineRule="auto"/>
        <w:jc w:val="both"/>
        <w:rPr>
          <w:rFonts w:ascii="Arial" w:hAnsi="Arial" w:eastAsia="Arial-BoldMT" w:cs="Arial"/>
          <w:sz w:val="24"/>
          <w:szCs w:val="24"/>
        </w:rPr>
      </w:pPr>
      <w:r>
        <w:rPr>
          <w:rFonts w:ascii="Arial" w:hAnsi="Arial" w:eastAsia="Arial-BoldMT" w:cs="Arial"/>
          <w:sz w:val="24"/>
          <w:szCs w:val="24"/>
        </w:rPr>
        <w:t>12.2. Os objetos deverão ser entregues embalados, de forma a não serem danificados durante as operações de transporte e descarga no local da entrega.</w:t>
      </w:r>
    </w:p>
    <w:p w14:paraId="24A710C9">
      <w:pPr>
        <w:spacing w:line="360" w:lineRule="auto"/>
        <w:jc w:val="both"/>
        <w:rPr>
          <w:rFonts w:ascii="Arial" w:hAnsi="Arial" w:eastAsia="Arial-BoldMT" w:cs="Arial"/>
          <w:sz w:val="24"/>
          <w:szCs w:val="24"/>
        </w:rPr>
      </w:pPr>
      <w:r>
        <w:rPr>
          <w:rFonts w:ascii="Arial" w:hAnsi="Arial" w:eastAsia="Arial-BoldMT" w:cs="Arial"/>
          <w:sz w:val="24"/>
          <w:szCs w:val="24"/>
        </w:rPr>
        <w:t>12.3. Todas as despesas relativas à entrega e transporte dos objetos licitados, bem como todos os impostos, taxas e demais despesas decorrentes do contrato correrão por conta exclusiva da Contratada.</w:t>
      </w:r>
    </w:p>
    <w:p w14:paraId="25D1FC07">
      <w:pPr>
        <w:spacing w:line="360" w:lineRule="auto"/>
        <w:jc w:val="both"/>
        <w:rPr>
          <w:rFonts w:ascii="Arial" w:hAnsi="Arial" w:eastAsia="Arial-BoldMT" w:cs="Arial"/>
          <w:sz w:val="24"/>
          <w:szCs w:val="24"/>
        </w:rPr>
      </w:pPr>
      <w:r>
        <w:rPr>
          <w:rFonts w:ascii="Arial" w:hAnsi="Arial" w:eastAsia="Arial-BoldMT" w:cs="Arial"/>
          <w:sz w:val="24"/>
          <w:szCs w:val="24"/>
        </w:rPr>
        <w:t>12.4. Caso a Contratada se recusar ao recebimento da nota de empenho ou instrumento equivalente, no prazo de 5 (cinco) dias úteis, a contar da notificação por meio hábil (ofício ou e-mail ou publicação em site oficial de comunicação), a Administração convocará a segunda melhor classificada para efetuar a entrega e assim sucessivamente quanto as demais classificadas, aplicando aos faltosos as penalidades cabíveis.</w:t>
      </w:r>
    </w:p>
    <w:p w14:paraId="44A5AB99">
      <w:pPr>
        <w:spacing w:line="360" w:lineRule="auto"/>
        <w:jc w:val="both"/>
        <w:rPr>
          <w:rFonts w:ascii="Arial" w:hAnsi="Arial" w:eastAsia="Arial-BoldMT" w:cs="Arial"/>
          <w:sz w:val="24"/>
          <w:szCs w:val="24"/>
        </w:rPr>
      </w:pPr>
      <w:r>
        <w:rPr>
          <w:rFonts w:ascii="Arial" w:hAnsi="Arial" w:eastAsia="Arial-BoldMT" w:cs="Arial"/>
          <w:sz w:val="24"/>
          <w:szCs w:val="24"/>
        </w:rPr>
        <w:t>12.5. O objeto será recebido provisoriamente, de forma sumária, no prazo de 15 (quinze) dias, pelo responsável pelo acompanhamento e fiscalização do contrato, para efeito de posterior verificação de sua conformidade com as especificações constantes neste Termo de Referência e na proposta.</w:t>
      </w:r>
    </w:p>
    <w:p w14:paraId="57BDB60F">
      <w:pPr>
        <w:spacing w:line="360" w:lineRule="auto"/>
        <w:jc w:val="both"/>
        <w:rPr>
          <w:rFonts w:ascii="Arial" w:hAnsi="Arial" w:eastAsia="Arial-BoldMT" w:cs="Arial"/>
          <w:sz w:val="24"/>
          <w:szCs w:val="24"/>
        </w:rPr>
      </w:pPr>
      <w:r>
        <w:rPr>
          <w:rFonts w:ascii="Arial" w:hAnsi="Arial" w:eastAsia="Arial-BoldMT" w:cs="Arial"/>
          <w:sz w:val="24"/>
          <w:szCs w:val="24"/>
        </w:rPr>
        <w:t>12.6 Para os fins do disposto no subitem 12.5, o termo sumário correspondente ao atesto no verso do documento fiscal ou equivalente.</w:t>
      </w:r>
    </w:p>
    <w:p w14:paraId="1793531A">
      <w:pPr>
        <w:spacing w:line="360" w:lineRule="auto"/>
        <w:jc w:val="both"/>
        <w:rPr>
          <w:rFonts w:ascii="Arial" w:hAnsi="Arial" w:eastAsia="Arial-BoldMT" w:cs="Arial"/>
          <w:sz w:val="24"/>
          <w:szCs w:val="24"/>
        </w:rPr>
      </w:pPr>
      <w:r>
        <w:rPr>
          <w:rFonts w:ascii="Arial" w:hAnsi="Arial" w:eastAsia="Arial-BoldMT" w:cs="Arial"/>
          <w:sz w:val="24"/>
          <w:szCs w:val="24"/>
        </w:rPr>
        <w:t>12.6. O objeto poderá ser rejeitado, no todo ou em parte, inclusive antes do recebimento provisório, quando em desacordo com as especificações constantes neste Termo de Referência e na proposta, devendo ser substituídos no prazo máximo de 7 (sete) dias úteis, a contar da notificação da Contratada, às suas custas, sem prejuízo da aplicação das penalidades.</w:t>
      </w:r>
    </w:p>
    <w:p w14:paraId="3B96962A">
      <w:pPr>
        <w:spacing w:line="360" w:lineRule="auto"/>
        <w:jc w:val="both"/>
        <w:rPr>
          <w:rFonts w:ascii="Arial" w:hAnsi="Arial" w:eastAsia="Arial-BoldMT" w:cs="Arial"/>
          <w:sz w:val="24"/>
          <w:szCs w:val="24"/>
        </w:rPr>
      </w:pPr>
      <w:r>
        <w:rPr>
          <w:rFonts w:ascii="Arial" w:hAnsi="Arial" w:eastAsia="Arial-BoldMT" w:cs="Arial"/>
          <w:sz w:val="24"/>
          <w:szCs w:val="24"/>
        </w:rPr>
        <w:t>12.7. Os bens serão recebidos definitivamente, por servidor ou comissão designada pela autoridade competente, no prazo de 07 (sete) dias, contados do recebimento provisório, mediante preenchimento de termo detalhado que comprove o atendimento das exigências contratuais.</w:t>
      </w:r>
    </w:p>
    <w:p w14:paraId="1D527B5C">
      <w:pPr>
        <w:spacing w:line="360" w:lineRule="auto"/>
        <w:jc w:val="both"/>
        <w:rPr>
          <w:rFonts w:ascii="Arial" w:hAnsi="Arial" w:eastAsia="Arial-BoldMT" w:cs="Arial"/>
          <w:sz w:val="24"/>
          <w:szCs w:val="24"/>
        </w:rPr>
      </w:pPr>
      <w:r>
        <w:rPr>
          <w:rFonts w:ascii="Arial" w:hAnsi="Arial" w:eastAsia="Arial-BoldMT" w:cs="Arial"/>
          <w:sz w:val="24"/>
          <w:szCs w:val="24"/>
        </w:rPr>
        <w:t>12.7.1. O prazo para recebimento definitivo poderá ser excepcionalmente prorrogado, de forma justificada, por igual período, quando houver necessidade de diligências para a aferição do atendimento das exigências contratual.</w:t>
      </w:r>
    </w:p>
    <w:p w14:paraId="627D6B95">
      <w:pPr>
        <w:spacing w:line="360" w:lineRule="auto"/>
        <w:jc w:val="both"/>
        <w:rPr>
          <w:rFonts w:ascii="Arial" w:hAnsi="Arial" w:eastAsia="Arial-BoldMT" w:cs="Arial"/>
          <w:sz w:val="24"/>
          <w:szCs w:val="24"/>
        </w:rPr>
      </w:pPr>
    </w:p>
    <w:p w14:paraId="2110D248">
      <w:pPr>
        <w:spacing w:line="360" w:lineRule="auto"/>
        <w:jc w:val="both"/>
        <w:rPr>
          <w:rFonts w:ascii="Arial" w:hAnsi="Arial" w:eastAsia="Arial-BoldMT" w:cs="Arial"/>
          <w:sz w:val="24"/>
          <w:szCs w:val="24"/>
        </w:rPr>
      </w:pPr>
    </w:p>
    <w:p w14:paraId="012A27B1">
      <w:pPr>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6A03773F">
      <w:pPr>
        <w:spacing w:line="360" w:lineRule="auto"/>
        <w:jc w:val="both"/>
        <w:rPr>
          <w:rFonts w:ascii="Arial" w:hAnsi="Arial" w:eastAsia="Arial-BoldMT" w:cs="Arial"/>
          <w:b/>
          <w:bCs/>
          <w:sz w:val="24"/>
          <w:szCs w:val="24"/>
        </w:rPr>
      </w:pPr>
    </w:p>
    <w:p w14:paraId="37C1DA94">
      <w:pPr>
        <w:spacing w:line="360" w:lineRule="auto"/>
        <w:jc w:val="both"/>
        <w:rPr>
          <w:rFonts w:ascii="Arial" w:hAnsi="Arial" w:eastAsia="Arial-BoldMT" w:cs="Arial"/>
          <w:sz w:val="24"/>
          <w:szCs w:val="24"/>
        </w:rPr>
      </w:pPr>
      <w:r>
        <w:rPr>
          <w:rFonts w:ascii="Arial" w:hAnsi="Arial" w:eastAsia="Arial-BoldMT" w:cs="Arial"/>
          <w:sz w:val="24"/>
          <w:szCs w:val="24"/>
        </w:rPr>
        <w:t>A contratada deverá assegurar a substituição de qualquer item que apresente defeitos ou que esteja em desacordo com as especificações contratadas, sem custos adicionais para a contratante.</w:t>
      </w:r>
      <w:r>
        <w:t xml:space="preserve"> </w:t>
      </w:r>
    </w:p>
    <w:p w14:paraId="79FD8129">
      <w:pPr>
        <w:spacing w:line="360" w:lineRule="auto"/>
        <w:jc w:val="both"/>
        <w:rPr>
          <w:rFonts w:ascii="Arial" w:hAnsi="Arial" w:cs="Arial"/>
          <w:sz w:val="24"/>
          <w:szCs w:val="24"/>
        </w:rPr>
      </w:pPr>
    </w:p>
    <w:p w14:paraId="3A5FEED1">
      <w:pPr>
        <w:spacing w:line="360" w:lineRule="auto"/>
        <w:jc w:val="both"/>
        <w:rPr>
          <w:rFonts w:ascii="Arial" w:hAnsi="Arial" w:eastAsia="Arial-BoldMT" w:cs="Arial"/>
          <w:sz w:val="24"/>
          <w:szCs w:val="24"/>
        </w:rPr>
      </w:pPr>
      <w:r>
        <w:rPr>
          <w:rFonts w:ascii="Arial" w:hAnsi="Arial" w:cs="Arial"/>
          <w:b/>
          <w:bCs/>
          <w:sz w:val="24"/>
          <w:szCs w:val="24"/>
        </w:rPr>
        <w:t>Agente responsável:</w:t>
      </w:r>
      <w:r>
        <w:rPr>
          <w:rFonts w:ascii="Arial" w:hAnsi="Arial" w:eastAsia="Arial-BoldMT" w:cs="Arial"/>
          <w:sz w:val="24"/>
          <w:szCs w:val="24"/>
        </w:rPr>
        <w:t xml:space="preserve"> </w:t>
      </w:r>
      <w:r>
        <w:rPr>
          <w:rFonts w:ascii="Arial" w:hAnsi="Arial" w:eastAsia="Calibri" w:cs="Arial"/>
          <w:sz w:val="24"/>
          <w:szCs w:val="24"/>
        </w:rPr>
        <w:t>Lilian Mateus Floriano Comodaro</w:t>
      </w:r>
    </w:p>
    <w:p w14:paraId="0D59AB6F">
      <w:pPr>
        <w:spacing w:line="276" w:lineRule="auto"/>
        <w:jc w:val="both"/>
        <w:rPr>
          <w:rFonts w:ascii="Arial" w:hAnsi="Arial" w:eastAsia="Arial-BoldMT" w:cs="Arial"/>
          <w:sz w:val="24"/>
          <w:szCs w:val="24"/>
        </w:rPr>
      </w:pPr>
    </w:p>
    <w:p w14:paraId="44127D31">
      <w:pPr>
        <w:spacing w:line="276" w:lineRule="auto"/>
        <w:jc w:val="both"/>
        <w:rPr>
          <w:rFonts w:ascii="Arial" w:hAnsi="Arial" w:eastAsia="Arial-BoldMT" w:cs="Arial"/>
          <w:sz w:val="24"/>
          <w:szCs w:val="24"/>
        </w:rPr>
      </w:pPr>
      <w:r>
        <w:rPr>
          <w:rFonts w:ascii="Arial" w:hAnsi="Arial" w:cs="Arial"/>
          <w:b/>
          <w:bCs/>
          <w:sz w:val="24"/>
          <w:szCs w:val="24"/>
        </w:rPr>
        <w:t>Setor solicitante:</w:t>
      </w:r>
      <w:r>
        <w:rPr>
          <w:rFonts w:ascii="Arial" w:hAnsi="Arial" w:cs="Arial"/>
          <w:sz w:val="24"/>
          <w:szCs w:val="24"/>
        </w:rPr>
        <w:t xml:space="preserve"> </w:t>
      </w:r>
      <w:r>
        <w:rPr>
          <w:rFonts w:ascii="Arial" w:hAnsi="Arial" w:eastAsia="Arial-BoldMT" w:cs="Arial"/>
          <w:sz w:val="24"/>
          <w:szCs w:val="24"/>
        </w:rPr>
        <w:t>Secretaria de Educação</w:t>
      </w:r>
    </w:p>
    <w:p w14:paraId="38A4ECC6">
      <w:pPr>
        <w:spacing w:line="276" w:lineRule="auto"/>
        <w:jc w:val="both"/>
        <w:rPr>
          <w:rFonts w:ascii="Arial" w:hAnsi="Arial" w:eastAsia="Arial-BoldMT" w:cs="Arial"/>
          <w:sz w:val="24"/>
          <w:szCs w:val="24"/>
        </w:rPr>
      </w:pPr>
    </w:p>
    <w:p w14:paraId="4D4EEE96">
      <w:pPr>
        <w:spacing w:line="276" w:lineRule="auto"/>
        <w:jc w:val="both"/>
        <w:rPr>
          <w:rFonts w:ascii="Arial" w:hAnsi="Arial" w:cs="Arial"/>
          <w:sz w:val="24"/>
          <w:szCs w:val="24"/>
        </w:rPr>
      </w:pPr>
      <w:r>
        <w:rPr>
          <w:rFonts w:ascii="Arial" w:hAnsi="Arial" w:cs="Arial"/>
          <w:sz w:val="24"/>
          <w:szCs w:val="24"/>
        </w:rPr>
        <w:t xml:space="preserve">Rifaina, 24 de abril de 2025. </w:t>
      </w:r>
    </w:p>
    <w:p w14:paraId="622E201D">
      <w:pPr>
        <w:spacing w:line="276" w:lineRule="auto"/>
        <w:jc w:val="both"/>
        <w:rPr>
          <w:rFonts w:ascii="Arial" w:hAnsi="Arial" w:cs="Arial"/>
          <w:sz w:val="24"/>
          <w:szCs w:val="24"/>
        </w:rPr>
      </w:pPr>
    </w:p>
    <w:p w14:paraId="3EE25E64">
      <w:pPr>
        <w:spacing w:line="276" w:lineRule="auto"/>
        <w:jc w:val="both"/>
        <w:rPr>
          <w:rFonts w:ascii="Arial" w:hAnsi="Arial" w:cs="Arial"/>
          <w:sz w:val="24"/>
          <w:szCs w:val="24"/>
        </w:rPr>
      </w:pPr>
    </w:p>
    <w:p w14:paraId="2B1B76A6">
      <w:pPr>
        <w:spacing w:line="276" w:lineRule="auto"/>
        <w:jc w:val="both"/>
        <w:rPr>
          <w:rFonts w:ascii="Arial" w:hAnsi="Arial" w:cs="Arial"/>
          <w:b/>
          <w:bCs/>
          <w:sz w:val="24"/>
          <w:szCs w:val="24"/>
        </w:rPr>
      </w:pPr>
    </w:p>
    <w:p w14:paraId="32B7C64F">
      <w:pPr>
        <w:spacing w:line="276" w:lineRule="auto"/>
        <w:jc w:val="both"/>
        <w:rPr>
          <w:rFonts w:ascii="Arial" w:hAnsi="Arial" w:cs="Arial"/>
          <w:b/>
          <w:bCs/>
          <w:sz w:val="24"/>
          <w:szCs w:val="24"/>
        </w:rPr>
      </w:pPr>
    </w:p>
    <w:p w14:paraId="4F3F8A75">
      <w:pPr>
        <w:spacing w:line="276" w:lineRule="auto"/>
        <w:jc w:val="both"/>
        <w:rPr>
          <w:rFonts w:ascii="Arial" w:hAnsi="Arial" w:cs="Arial"/>
          <w:b/>
          <w:bCs/>
          <w:sz w:val="24"/>
          <w:szCs w:val="24"/>
        </w:rPr>
      </w:pPr>
    </w:p>
    <w:p w14:paraId="0D4BE851">
      <w:pPr>
        <w:spacing w:line="276" w:lineRule="auto"/>
        <w:jc w:val="center"/>
        <w:rPr>
          <w:rFonts w:ascii="Arial" w:hAnsi="Arial" w:cs="Arial"/>
          <w:sz w:val="24"/>
          <w:szCs w:val="24"/>
        </w:rPr>
      </w:pPr>
      <w:r>
        <w:rPr>
          <w:rFonts w:ascii="Arial" w:hAnsi="Arial" w:cs="Arial"/>
          <w:sz w:val="24"/>
          <w:szCs w:val="24"/>
        </w:rPr>
        <w:t>__________________________________________</w:t>
      </w:r>
    </w:p>
    <w:p w14:paraId="341C1191">
      <w:pPr>
        <w:spacing w:line="276" w:lineRule="auto"/>
        <w:jc w:val="center"/>
        <w:rPr>
          <w:rFonts w:ascii="Arial" w:hAnsi="Arial" w:cs="Arial"/>
          <w:sz w:val="24"/>
          <w:szCs w:val="24"/>
        </w:rPr>
      </w:pPr>
      <w:r>
        <w:rPr>
          <w:rFonts w:ascii="Arial" w:hAnsi="Arial" w:cs="Arial"/>
          <w:sz w:val="24"/>
          <w:szCs w:val="24"/>
        </w:rPr>
        <w:t>Wilson Alves da Silva Junior</w:t>
      </w:r>
    </w:p>
    <w:p w14:paraId="33DAAC9C">
      <w:pPr>
        <w:spacing w:line="276" w:lineRule="auto"/>
        <w:jc w:val="center"/>
        <w:rPr>
          <w:rFonts w:ascii="Arial" w:hAnsi="Arial" w:cs="Arial"/>
          <w:sz w:val="24"/>
          <w:szCs w:val="24"/>
        </w:rPr>
      </w:pPr>
      <w:r>
        <w:rPr>
          <w:rFonts w:ascii="Arial" w:hAnsi="Arial" w:cs="Arial"/>
          <w:sz w:val="24"/>
          <w:szCs w:val="24"/>
        </w:rPr>
        <w:t>Prefeito</w:t>
      </w:r>
    </w:p>
    <w:p w14:paraId="57A3784D">
      <w:pPr>
        <w:spacing w:line="276" w:lineRule="auto"/>
        <w:jc w:val="center"/>
        <w:rPr>
          <w:rFonts w:ascii="Arial" w:hAnsi="Arial" w:cs="Arial"/>
          <w:sz w:val="24"/>
          <w:szCs w:val="24"/>
        </w:rPr>
      </w:pPr>
    </w:p>
    <w:p w14:paraId="54338A05">
      <w:pPr>
        <w:spacing w:line="276" w:lineRule="auto"/>
        <w:rPr>
          <w:rFonts w:ascii="Arial" w:hAnsi="Arial" w:cs="Arial"/>
          <w:sz w:val="24"/>
          <w:szCs w:val="24"/>
        </w:rPr>
      </w:pPr>
    </w:p>
    <w:p w14:paraId="354B0315">
      <w:pPr>
        <w:spacing w:line="276" w:lineRule="auto"/>
        <w:rPr>
          <w:rFonts w:ascii="Arial" w:hAnsi="Arial" w:cs="Arial"/>
          <w:sz w:val="24"/>
          <w:szCs w:val="24"/>
        </w:rPr>
      </w:pPr>
    </w:p>
    <w:p w14:paraId="53AF8877">
      <w:pPr>
        <w:spacing w:line="276" w:lineRule="auto"/>
        <w:rPr>
          <w:rFonts w:ascii="Arial" w:hAnsi="Arial" w:cs="Arial"/>
          <w:sz w:val="24"/>
          <w:szCs w:val="24"/>
        </w:rPr>
      </w:pPr>
    </w:p>
    <w:p w14:paraId="10130E88">
      <w:pPr>
        <w:spacing w:line="276" w:lineRule="auto"/>
        <w:rPr>
          <w:rFonts w:ascii="Arial" w:hAnsi="Arial" w:cs="Arial"/>
          <w:sz w:val="24"/>
          <w:szCs w:val="24"/>
        </w:rPr>
      </w:pPr>
    </w:p>
    <w:p w14:paraId="5842BA9B">
      <w:pPr>
        <w:spacing w:line="276" w:lineRule="auto"/>
        <w:jc w:val="center"/>
        <w:rPr>
          <w:rFonts w:ascii="Arial" w:hAnsi="Arial" w:cs="Arial"/>
          <w:sz w:val="24"/>
          <w:szCs w:val="24"/>
        </w:rPr>
      </w:pPr>
      <w:r>
        <w:rPr>
          <w:rFonts w:ascii="Arial" w:hAnsi="Arial" w:cs="Arial"/>
          <w:sz w:val="24"/>
          <w:szCs w:val="24"/>
        </w:rPr>
        <w:t>__________________________________________</w:t>
      </w:r>
    </w:p>
    <w:p w14:paraId="27E4480C">
      <w:pPr>
        <w:spacing w:line="276" w:lineRule="auto"/>
        <w:jc w:val="center"/>
        <w:rPr>
          <w:rFonts w:ascii="Arial" w:hAnsi="Arial" w:eastAsia="Arial-BoldMT" w:cs="Arial"/>
          <w:sz w:val="24"/>
          <w:szCs w:val="24"/>
        </w:rPr>
      </w:pPr>
      <w:r>
        <w:rPr>
          <w:rFonts w:ascii="Arial" w:hAnsi="Arial" w:eastAsia="Calibri" w:cs="Arial"/>
          <w:sz w:val="24"/>
          <w:szCs w:val="24"/>
        </w:rPr>
        <w:t>Lilian Mateus Floriano Comodaro</w:t>
      </w:r>
    </w:p>
    <w:p w14:paraId="7002769F">
      <w:pPr>
        <w:spacing w:line="276" w:lineRule="auto"/>
        <w:jc w:val="center"/>
        <w:rPr>
          <w:rFonts w:ascii="Arial" w:hAnsi="Arial" w:eastAsia="Arial-BoldMT" w:cs="Arial"/>
          <w:sz w:val="24"/>
          <w:szCs w:val="24"/>
        </w:rPr>
      </w:pPr>
      <w:r>
        <w:rPr>
          <w:rFonts w:ascii="Arial" w:hAnsi="Arial" w:eastAsia="Arial-BoldMT" w:cs="Arial"/>
          <w:sz w:val="24"/>
          <w:szCs w:val="24"/>
        </w:rPr>
        <w:t>Agente Responsável</w:t>
      </w:r>
    </w:p>
    <w:p w14:paraId="4EF39EF6">
      <w:pPr>
        <w:jc w:val="center"/>
        <w:rPr>
          <w:rFonts w:ascii="Arial" w:hAnsi="Arial" w:eastAsia="Calibri" w:cs="Arial"/>
          <w:sz w:val="24"/>
          <w:szCs w:val="24"/>
        </w:rPr>
      </w:pPr>
    </w:p>
    <w:p w14:paraId="57BFA202">
      <w:pPr>
        <w:jc w:val="center"/>
        <w:rPr>
          <w:rFonts w:ascii="Arial" w:hAnsi="Arial" w:eastAsia="Calibri" w:cs="Arial"/>
          <w:sz w:val="24"/>
          <w:szCs w:val="24"/>
        </w:rPr>
      </w:pPr>
    </w:p>
    <w:p w14:paraId="6DE1CEC8">
      <w:pPr>
        <w:jc w:val="center"/>
        <w:rPr>
          <w:rFonts w:ascii="Arial" w:hAnsi="Arial" w:cs="Arial"/>
          <w:sz w:val="24"/>
          <w:szCs w:val="24"/>
        </w:rPr>
      </w:pPr>
    </w:p>
    <w:bookmarkEnd w:id="2"/>
    <w:p w14:paraId="14599FAA">
      <w:pPr>
        <w:spacing w:line="276" w:lineRule="auto"/>
        <w:jc w:val="both"/>
        <w:rPr>
          <w:rFonts w:ascii="Arial" w:hAnsi="Arial" w:eastAsia="Arial-BoldMT" w:cs="Arial"/>
          <w:sz w:val="24"/>
          <w:szCs w:val="24"/>
          <w:highlight w:val="yellow"/>
        </w:rPr>
      </w:pPr>
    </w:p>
    <w:p w14:paraId="16EBDEB2">
      <w:pPr>
        <w:jc w:val="both"/>
        <w:rPr>
          <w:rFonts w:ascii="Times New Roman" w:hAnsi="Times New Roman" w:cs="Times New Roman"/>
        </w:rPr>
      </w:pPr>
    </w:p>
    <w:p w14:paraId="6BD0398C">
      <w:pPr>
        <w:jc w:val="both"/>
        <w:rPr>
          <w:rFonts w:ascii="Times New Roman" w:hAnsi="Times New Roman" w:cs="Times New Roman"/>
        </w:rPr>
      </w:pPr>
    </w:p>
    <w:p w14:paraId="16FE048A">
      <w:pPr>
        <w:jc w:val="both"/>
        <w:rPr>
          <w:rFonts w:ascii="Times New Roman" w:hAnsi="Times New Roman" w:cs="Times New Roman"/>
        </w:rPr>
      </w:pPr>
    </w:p>
    <w:p w14:paraId="7337EB92">
      <w:pPr>
        <w:jc w:val="both"/>
        <w:rPr>
          <w:rFonts w:ascii="Times New Roman" w:hAnsi="Times New Roman" w:cs="Times New Roman"/>
        </w:rPr>
      </w:pPr>
    </w:p>
    <w:p w14:paraId="51A6DBD0">
      <w:pPr>
        <w:jc w:val="both"/>
        <w:rPr>
          <w:rFonts w:ascii="Times New Roman" w:hAnsi="Times New Roman" w:cs="Times New Roman"/>
        </w:rPr>
      </w:pPr>
    </w:p>
    <w:p w14:paraId="13C3354A">
      <w:pPr>
        <w:jc w:val="both"/>
        <w:rPr>
          <w:rFonts w:ascii="Times New Roman" w:hAnsi="Times New Roman" w:cs="Times New Roman"/>
        </w:rPr>
      </w:pPr>
    </w:p>
    <w:p w14:paraId="16B7C72C">
      <w:pPr>
        <w:jc w:val="both"/>
        <w:rPr>
          <w:rFonts w:ascii="Times New Roman" w:hAnsi="Times New Roman" w:cs="Times New Roman"/>
        </w:rPr>
      </w:pPr>
    </w:p>
    <w:p w14:paraId="46D1F89B">
      <w:pPr>
        <w:jc w:val="both"/>
        <w:rPr>
          <w:rFonts w:ascii="Times New Roman" w:hAnsi="Times New Roman" w:cs="Times New Roman"/>
        </w:rPr>
      </w:pPr>
    </w:p>
    <w:p w14:paraId="7ADC3EC8">
      <w:pPr>
        <w:jc w:val="both"/>
        <w:rPr>
          <w:rFonts w:ascii="Times New Roman" w:hAnsi="Times New Roman" w:cs="Times New Roman"/>
        </w:rPr>
      </w:pPr>
    </w:p>
    <w:p w14:paraId="1156AEC0">
      <w:pPr>
        <w:jc w:val="both"/>
        <w:rPr>
          <w:rFonts w:ascii="Times New Roman" w:hAnsi="Times New Roman" w:cs="Times New Roman"/>
        </w:rPr>
      </w:pPr>
    </w:p>
    <w:p w14:paraId="33229D43">
      <w:pPr>
        <w:jc w:val="both"/>
        <w:rPr>
          <w:rFonts w:ascii="Times New Roman" w:hAnsi="Times New Roman" w:cs="Times New Roman"/>
        </w:rPr>
      </w:pPr>
    </w:p>
    <w:p w14:paraId="7F771DA0">
      <w:pPr>
        <w:jc w:val="both"/>
        <w:rPr>
          <w:rFonts w:ascii="Times New Roman" w:hAnsi="Times New Roman" w:cs="Times New Roman"/>
        </w:rPr>
      </w:pPr>
    </w:p>
    <w:p w14:paraId="7E089644">
      <w:pPr>
        <w:jc w:val="both"/>
        <w:rPr>
          <w:rFonts w:ascii="Times New Roman" w:hAnsi="Times New Roman" w:cs="Times New Roman"/>
        </w:rPr>
      </w:pPr>
    </w:p>
    <w:p w14:paraId="4EA1117A">
      <w:pPr>
        <w:jc w:val="both"/>
        <w:rPr>
          <w:rFonts w:ascii="Times New Roman" w:hAnsi="Times New Roman" w:cs="Times New Roman"/>
        </w:rPr>
      </w:pPr>
    </w:p>
    <w:p w14:paraId="1CDAB343">
      <w:pPr>
        <w:jc w:val="both"/>
        <w:rPr>
          <w:rFonts w:ascii="Times New Roman" w:hAnsi="Times New Roman" w:cs="Times New Roman"/>
        </w:rPr>
      </w:pPr>
    </w:p>
    <w:p w14:paraId="22B5CA3A">
      <w:pPr>
        <w:jc w:val="both"/>
        <w:rPr>
          <w:rFonts w:ascii="Times New Roman" w:hAnsi="Times New Roman" w:cs="Times New Roman"/>
        </w:rPr>
      </w:pPr>
    </w:p>
    <w:p w14:paraId="7382B0C7">
      <w:pPr>
        <w:jc w:val="both"/>
        <w:rPr>
          <w:rFonts w:ascii="Times New Roman" w:hAnsi="Times New Roman" w:cs="Times New Roman"/>
        </w:rPr>
      </w:pPr>
    </w:p>
    <w:p w14:paraId="2250C30E">
      <w:pPr>
        <w:jc w:val="both"/>
        <w:rPr>
          <w:rFonts w:ascii="Times New Roman" w:hAnsi="Times New Roman" w:cs="Times New Roman"/>
        </w:rPr>
      </w:pPr>
    </w:p>
    <w:p w14:paraId="61CF9753">
      <w:pPr>
        <w:jc w:val="center"/>
        <w:rPr>
          <w:rFonts w:ascii="Times New Roman" w:hAnsi="Times New Roman" w:cs="Times New Roman"/>
        </w:rPr>
      </w:pPr>
      <w:r>
        <w:rPr>
          <w:rFonts w:ascii="Times New Roman" w:hAnsi="Times New Roman" w:cs="Times New Roman"/>
        </w:rPr>
        <w:t>ANEXOVI</w:t>
      </w: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75</w:t>
      </w:r>
      <w:r>
        <w:rPr>
          <w:rFonts w:ascii="Times New Roman" w:hAnsi="Times New Roman" w:cs="Times New Roman"/>
          <w:b/>
          <w:bCs/>
        </w:rPr>
        <w:t>/2025 PROCESSO ADM N°</w:t>
      </w:r>
      <w:r>
        <w:rPr>
          <w:rFonts w:hint="default" w:ascii="Times New Roman" w:hAnsi="Times New Roman" w:cs="Times New Roman"/>
          <w:b/>
          <w:bCs/>
          <w:lang w:val="pt-BR"/>
        </w:rPr>
        <w:t>197</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205E3C18">
      <w:pPr>
        <w:jc w:val="center"/>
        <w:rPr>
          <w:rFonts w:ascii="Times New Roman" w:hAnsi="Times New Roman" w:cs="Times New Roman"/>
          <w:b/>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58F7A7C9">
      <w:pPr>
        <w:jc w:val="both"/>
        <w:rPr>
          <w:rFonts w:ascii="Arial" w:hAnsi="Arial" w:cs="Arial"/>
          <w:sz w:val="24"/>
          <w:szCs w:val="24"/>
        </w:rPr>
      </w:pPr>
    </w:p>
    <w:tbl>
      <w:tblPr>
        <w:tblStyle w:val="7"/>
        <w:tblW w:w="9099" w:type="dxa"/>
        <w:tblInd w:w="70" w:type="dxa"/>
        <w:tblLayout w:type="fixed"/>
        <w:tblCellMar>
          <w:top w:w="0" w:type="dxa"/>
          <w:left w:w="70" w:type="dxa"/>
          <w:bottom w:w="0" w:type="dxa"/>
          <w:right w:w="70" w:type="dxa"/>
        </w:tblCellMar>
      </w:tblPr>
      <w:tblGrid>
        <w:gridCol w:w="737"/>
        <w:gridCol w:w="992"/>
        <w:gridCol w:w="737"/>
        <w:gridCol w:w="3912"/>
        <w:gridCol w:w="1304"/>
        <w:gridCol w:w="1417"/>
      </w:tblGrid>
      <w:tr w14:paraId="2FDC8B12">
        <w:tblPrEx>
          <w:tblCellMar>
            <w:top w:w="0" w:type="dxa"/>
            <w:left w:w="70" w:type="dxa"/>
            <w:bottom w:w="0" w:type="dxa"/>
            <w:right w:w="70" w:type="dxa"/>
          </w:tblCellMar>
        </w:tblPrEx>
        <w:trPr>
          <w:trHeight w:val="454" w:hRule="atLeast"/>
        </w:trPr>
        <w:tc>
          <w:tcPr>
            <w:tcW w:w="737" w:type="dxa"/>
            <w:tcBorders>
              <w:top w:val="single" w:color="auto" w:sz="12" w:space="0"/>
              <w:left w:val="single" w:color="auto" w:sz="12" w:space="0"/>
              <w:bottom w:val="single" w:color="auto" w:sz="12" w:space="0"/>
              <w:right w:val="single" w:color="auto" w:sz="12" w:space="0"/>
            </w:tcBorders>
            <w:shd w:val="clear" w:color="auto" w:fill="auto"/>
            <w:vAlign w:val="center"/>
          </w:tcPr>
          <w:p w14:paraId="60456C0D">
            <w:pPr>
              <w:spacing w:before="120" w:after="120"/>
              <w:jc w:val="center"/>
              <w:rPr>
                <w:color w:val="000000"/>
                <w:sz w:val="24"/>
                <w:szCs w:val="24"/>
                <w:lang w:eastAsia="pt-BR"/>
              </w:rPr>
            </w:pPr>
            <w:r>
              <w:rPr>
                <w:color w:val="000000"/>
                <w:sz w:val="24"/>
                <w:szCs w:val="24"/>
                <w:lang w:eastAsia="pt-BR"/>
              </w:rPr>
              <w:t>ITEM</w:t>
            </w:r>
          </w:p>
        </w:tc>
        <w:tc>
          <w:tcPr>
            <w:tcW w:w="992" w:type="dxa"/>
            <w:tcBorders>
              <w:top w:val="single" w:color="auto" w:sz="12" w:space="0"/>
              <w:left w:val="nil"/>
              <w:bottom w:val="single" w:color="auto" w:sz="12" w:space="0"/>
              <w:right w:val="single" w:color="auto" w:sz="12" w:space="0"/>
            </w:tcBorders>
            <w:shd w:val="clear" w:color="auto" w:fill="auto"/>
            <w:vAlign w:val="center"/>
          </w:tcPr>
          <w:p w14:paraId="217BD97B">
            <w:pPr>
              <w:spacing w:before="120" w:after="120"/>
              <w:jc w:val="center"/>
              <w:rPr>
                <w:color w:val="000000"/>
                <w:sz w:val="24"/>
                <w:szCs w:val="24"/>
                <w:lang w:eastAsia="pt-BR"/>
              </w:rPr>
            </w:pPr>
            <w:r>
              <w:rPr>
                <w:color w:val="000000"/>
                <w:sz w:val="24"/>
                <w:szCs w:val="24"/>
                <w:lang w:eastAsia="pt-BR"/>
              </w:rPr>
              <w:t>QUANT</w:t>
            </w:r>
          </w:p>
        </w:tc>
        <w:tc>
          <w:tcPr>
            <w:tcW w:w="737" w:type="dxa"/>
            <w:tcBorders>
              <w:top w:val="single" w:color="auto" w:sz="12" w:space="0"/>
              <w:left w:val="nil"/>
              <w:bottom w:val="single" w:color="auto" w:sz="12" w:space="0"/>
              <w:right w:val="single" w:color="auto" w:sz="12" w:space="0"/>
            </w:tcBorders>
            <w:vAlign w:val="center"/>
          </w:tcPr>
          <w:p w14:paraId="5C83DE09">
            <w:pPr>
              <w:spacing w:before="120" w:after="120"/>
              <w:ind w:left="-57"/>
              <w:jc w:val="center"/>
              <w:rPr>
                <w:color w:val="000000"/>
                <w:sz w:val="24"/>
                <w:szCs w:val="24"/>
                <w:lang w:eastAsia="pt-BR"/>
              </w:rPr>
            </w:pPr>
            <w:r>
              <w:rPr>
                <w:color w:val="000000"/>
                <w:sz w:val="24"/>
                <w:szCs w:val="24"/>
                <w:lang w:eastAsia="pt-BR"/>
              </w:rPr>
              <w:t>UNID</w:t>
            </w:r>
          </w:p>
        </w:tc>
        <w:tc>
          <w:tcPr>
            <w:tcW w:w="3912" w:type="dxa"/>
            <w:tcBorders>
              <w:top w:val="single" w:color="auto" w:sz="12" w:space="0"/>
              <w:left w:val="single" w:color="auto" w:sz="12" w:space="0"/>
              <w:bottom w:val="single" w:color="auto" w:sz="12" w:space="0"/>
              <w:right w:val="single" w:color="auto" w:sz="12" w:space="0"/>
            </w:tcBorders>
            <w:vAlign w:val="center"/>
          </w:tcPr>
          <w:p w14:paraId="501096C6">
            <w:pPr>
              <w:spacing w:before="120" w:after="120"/>
              <w:jc w:val="center"/>
              <w:rPr>
                <w:color w:val="000000"/>
                <w:sz w:val="24"/>
                <w:szCs w:val="24"/>
                <w:lang w:eastAsia="pt-BR"/>
              </w:rPr>
            </w:pPr>
            <w:r>
              <w:rPr>
                <w:color w:val="000000"/>
                <w:sz w:val="24"/>
                <w:szCs w:val="24"/>
                <w:lang w:eastAsia="pt-BR"/>
              </w:rPr>
              <w:t>PRODUTO/DESCRIÇÃO</w:t>
            </w:r>
          </w:p>
        </w:tc>
        <w:tc>
          <w:tcPr>
            <w:tcW w:w="1304" w:type="dxa"/>
            <w:tcBorders>
              <w:top w:val="single" w:color="auto" w:sz="12" w:space="0"/>
              <w:left w:val="single" w:color="auto" w:sz="12" w:space="0"/>
              <w:bottom w:val="single" w:color="auto" w:sz="12" w:space="0"/>
              <w:right w:val="single" w:color="auto" w:sz="12" w:space="0"/>
            </w:tcBorders>
          </w:tcPr>
          <w:p w14:paraId="6A0C18E6">
            <w:pPr>
              <w:spacing w:before="120" w:after="120"/>
              <w:jc w:val="center"/>
              <w:rPr>
                <w:color w:val="000000"/>
                <w:sz w:val="24"/>
                <w:szCs w:val="24"/>
                <w:lang w:eastAsia="pt-BR"/>
              </w:rPr>
            </w:pPr>
            <w:r>
              <w:rPr>
                <w:color w:val="000000"/>
                <w:sz w:val="24"/>
                <w:szCs w:val="24"/>
                <w:lang w:eastAsia="pt-BR"/>
              </w:rPr>
              <w:t>VALOR MÉDIO UNITÁRIO</w:t>
            </w:r>
          </w:p>
        </w:tc>
        <w:tc>
          <w:tcPr>
            <w:tcW w:w="1417" w:type="dxa"/>
            <w:tcBorders>
              <w:top w:val="single" w:color="auto" w:sz="12" w:space="0"/>
              <w:left w:val="single" w:color="auto" w:sz="12" w:space="0"/>
              <w:bottom w:val="single" w:color="auto" w:sz="12" w:space="0"/>
              <w:right w:val="single" w:color="auto" w:sz="12" w:space="0"/>
            </w:tcBorders>
          </w:tcPr>
          <w:p w14:paraId="57E600C8">
            <w:pPr>
              <w:spacing w:before="120" w:after="120"/>
              <w:jc w:val="center"/>
              <w:rPr>
                <w:color w:val="000000"/>
                <w:sz w:val="24"/>
                <w:szCs w:val="24"/>
                <w:lang w:eastAsia="pt-BR"/>
              </w:rPr>
            </w:pPr>
            <w:r>
              <w:rPr>
                <w:color w:val="000000"/>
                <w:sz w:val="24"/>
                <w:szCs w:val="24"/>
                <w:lang w:eastAsia="pt-BR"/>
              </w:rPr>
              <w:t>VALOR MÉDIO TOTAL</w:t>
            </w:r>
          </w:p>
        </w:tc>
      </w:tr>
      <w:tr w14:paraId="0BB096DB">
        <w:tblPrEx>
          <w:tblCellMar>
            <w:top w:w="0" w:type="dxa"/>
            <w:left w:w="70" w:type="dxa"/>
            <w:bottom w:w="0" w:type="dxa"/>
            <w:right w:w="70" w:type="dxa"/>
          </w:tblCellMar>
        </w:tblPrEx>
        <w:trPr>
          <w:trHeight w:val="737" w:hRule="atLeast"/>
        </w:trPr>
        <w:tc>
          <w:tcPr>
            <w:tcW w:w="737" w:type="dxa"/>
            <w:tcBorders>
              <w:top w:val="single" w:color="auto" w:sz="12" w:space="0"/>
              <w:left w:val="single" w:color="auto" w:sz="12" w:space="0"/>
              <w:bottom w:val="single" w:color="auto" w:sz="12" w:space="0"/>
              <w:right w:val="single" w:color="auto" w:sz="12" w:space="0"/>
            </w:tcBorders>
            <w:shd w:val="clear" w:color="auto" w:fill="auto"/>
            <w:vAlign w:val="center"/>
          </w:tcPr>
          <w:p w14:paraId="67096922">
            <w:pPr>
              <w:numPr>
                <w:ilvl w:val="0"/>
                <w:numId w:val="15"/>
              </w:numPr>
              <w:suppressAutoHyphens w:val="0"/>
              <w:ind w:left="530"/>
              <w:jc w:val="center"/>
              <w:rPr>
                <w:color w:val="000000"/>
                <w:sz w:val="24"/>
                <w:szCs w:val="24"/>
                <w:lang w:eastAsia="pt-BR"/>
              </w:rPr>
            </w:pPr>
          </w:p>
        </w:tc>
        <w:tc>
          <w:tcPr>
            <w:tcW w:w="992" w:type="dxa"/>
            <w:tcBorders>
              <w:top w:val="single" w:color="auto" w:sz="12" w:space="0"/>
              <w:left w:val="nil"/>
              <w:bottom w:val="single" w:color="auto" w:sz="12" w:space="0"/>
              <w:right w:val="single" w:color="auto" w:sz="12" w:space="0"/>
            </w:tcBorders>
            <w:shd w:val="clear" w:color="auto" w:fill="auto"/>
            <w:vAlign w:val="center"/>
          </w:tcPr>
          <w:p w14:paraId="42CA02F4">
            <w:pPr>
              <w:jc w:val="center"/>
              <w:textAlignment w:val="baseline"/>
              <w:rPr>
                <w:sz w:val="24"/>
                <w:szCs w:val="24"/>
              </w:rPr>
            </w:pPr>
            <w:r>
              <w:rPr>
                <w:sz w:val="24"/>
                <w:szCs w:val="24"/>
              </w:rPr>
              <w:t>13</w:t>
            </w:r>
          </w:p>
        </w:tc>
        <w:tc>
          <w:tcPr>
            <w:tcW w:w="737" w:type="dxa"/>
            <w:tcBorders>
              <w:top w:val="single" w:color="auto" w:sz="12" w:space="0"/>
              <w:left w:val="nil"/>
              <w:bottom w:val="single" w:color="auto" w:sz="12" w:space="0"/>
              <w:right w:val="single" w:color="auto" w:sz="12" w:space="0"/>
            </w:tcBorders>
            <w:vAlign w:val="center"/>
          </w:tcPr>
          <w:p w14:paraId="7DA09ADB">
            <w:pPr>
              <w:jc w:val="center"/>
              <w:rPr>
                <w:sz w:val="24"/>
                <w:szCs w:val="24"/>
              </w:rPr>
            </w:pPr>
            <w:r>
              <w:rPr>
                <w:sz w:val="24"/>
                <w:szCs w:val="24"/>
              </w:rPr>
              <w:t>UND</w:t>
            </w:r>
          </w:p>
        </w:tc>
        <w:tc>
          <w:tcPr>
            <w:tcW w:w="3912" w:type="dxa"/>
            <w:tcBorders>
              <w:top w:val="single" w:color="auto" w:sz="12" w:space="0"/>
              <w:left w:val="single" w:color="auto" w:sz="12" w:space="0"/>
              <w:bottom w:val="single" w:color="auto" w:sz="12" w:space="0"/>
              <w:right w:val="single" w:color="auto" w:sz="12" w:space="0"/>
            </w:tcBorders>
          </w:tcPr>
          <w:p w14:paraId="4E9D2FBF">
            <w:pPr>
              <w:spacing w:before="60" w:after="60"/>
              <w:jc w:val="both"/>
              <w:rPr>
                <w:rFonts w:ascii="Arial" w:hAnsi="Arial" w:cs="Arial"/>
              </w:rPr>
            </w:pPr>
            <w:r>
              <w:rPr>
                <w:rFonts w:ascii="Arial" w:hAnsi="Arial" w:cs="Arial"/>
              </w:rPr>
              <w:t>CONJUNTO COLETIVO CJC 01 MESA COM 4CADEIRAS</w:t>
            </w:r>
          </w:p>
          <w:p w14:paraId="7553F4ED">
            <w:pPr>
              <w:spacing w:before="60" w:after="60"/>
              <w:jc w:val="both"/>
              <w:rPr>
                <w:rFonts w:ascii="Arial" w:hAnsi="Arial" w:cs="Arial"/>
              </w:rPr>
            </w:pPr>
            <w:r>
              <w:rPr>
                <w:rFonts w:ascii="Arial" w:hAnsi="Arial" w:cs="Arial"/>
              </w:rPr>
              <w:t>Mesa - Tampo em madeira aglomerada (MDP), com espessura de 25 mm, revestido na face superior em laminado melamínico de alta pressão, 0,8 mm de espessura, acabamento texturizado, na cor CINZA.</w:t>
            </w:r>
          </w:p>
          <w:p w14:paraId="693B304F">
            <w:pPr>
              <w:spacing w:before="60" w:after="60"/>
              <w:jc w:val="both"/>
              <w:rPr>
                <w:rFonts w:ascii="Arial" w:hAnsi="Arial" w:cs="Arial"/>
              </w:rPr>
            </w:pPr>
            <w:r>
              <w:rPr>
                <w:rFonts w:ascii="Arial" w:hAnsi="Arial" w:cs="Arial"/>
              </w:rPr>
              <w:t>Revestimento na face inferior em laminado melamínico de baixa pressão - BP, na cor BRANCA. Furação e colocação de buchas em zamac, autoatarraxantes, rosca interna 1/4 x 13 mm de comprimento, conforme projeto e detalhamento. Dimensões acabadas 800 mm (largura) x 800 mm (comprimento) x 25,8 mm (espessura), admitindo-se tolerância de até + 2 mm para largura e comprimento e +/-1 mm para espessura. Topos encabeçados com fita de bordo em PVC (cloreto de polinivinila) com "primer", acabamento texturizado, na cor LARANJA, coladas com adesivo "Hot Melting". Dimensões nominais de 29 mm (largura) x 3 mm(espessura), com tolerância de até 2,5 mm para espessura. Estrutura da mesa compostas de: - Pés confeccionados em tubo de aço carbono, laminado a frio, com costura, ® = 38 mm (1 1/2"), em chapa 16 (1,5</w:t>
            </w:r>
          </w:p>
          <w:p w14:paraId="6DB20B39">
            <w:pPr>
              <w:spacing w:before="60" w:after="60"/>
              <w:jc w:val="both"/>
              <w:rPr>
                <w:rFonts w:ascii="Arial" w:hAnsi="Arial" w:cs="Arial"/>
              </w:rPr>
            </w:pPr>
            <w:r>
              <w:rPr>
                <w:rFonts w:ascii="Arial" w:hAnsi="Arial" w:cs="Arial"/>
              </w:rPr>
              <w:t>- Travessas em tubo de aço carbono, laminado a frio, com costura, secção retangular de 20 mm x 40 mm, em chapa 16 (1,5 mm); - Segmento de tubo h = 40 mm, em chapa 16 (1,5 mm). Altura da mesa: 46 cm.Tampo da mesa quadrada para 04 lugares: 80 cm x 80cm.</w:t>
            </w:r>
          </w:p>
          <w:p w14:paraId="58B3F8D9">
            <w:pPr>
              <w:jc w:val="both"/>
              <w:rPr>
                <w:sz w:val="24"/>
                <w:szCs w:val="24"/>
              </w:rPr>
            </w:pPr>
            <w:r>
              <w:rPr>
                <w:rFonts w:ascii="Arial" w:hAnsi="Arial" w:cs="Arial"/>
              </w:rPr>
              <w:t>Altura do assento da cadeira ao chão: 26 cm Assento da cadeira: 26 cm x 34 cm Encosto da cadeira: 15,5 cm x 35 cm</w:t>
            </w:r>
          </w:p>
        </w:tc>
        <w:tc>
          <w:tcPr>
            <w:tcW w:w="1304" w:type="dxa"/>
            <w:tcBorders>
              <w:top w:val="single" w:color="auto" w:sz="12" w:space="0"/>
              <w:left w:val="single" w:color="auto" w:sz="12" w:space="0"/>
              <w:bottom w:val="single" w:color="auto" w:sz="12" w:space="0"/>
              <w:right w:val="single" w:color="auto" w:sz="12" w:space="0"/>
            </w:tcBorders>
            <w:vAlign w:val="center"/>
          </w:tcPr>
          <w:p w14:paraId="5244423B">
            <w:pPr>
              <w:spacing w:line="360" w:lineRule="auto"/>
              <w:jc w:val="center"/>
              <w:rPr>
                <w:b/>
                <w:sz w:val="24"/>
                <w:szCs w:val="24"/>
              </w:rPr>
            </w:pPr>
            <w:r>
              <w:rPr>
                <w:sz w:val="24"/>
                <w:szCs w:val="24"/>
              </w:rPr>
              <w:t xml:space="preserve">R$ </w:t>
            </w:r>
          </w:p>
        </w:tc>
        <w:tc>
          <w:tcPr>
            <w:tcW w:w="1417" w:type="dxa"/>
            <w:tcBorders>
              <w:top w:val="single" w:color="auto" w:sz="12" w:space="0"/>
              <w:left w:val="single" w:color="auto" w:sz="12" w:space="0"/>
              <w:bottom w:val="single" w:color="auto" w:sz="12" w:space="0"/>
              <w:right w:val="single" w:color="auto" w:sz="12" w:space="0"/>
            </w:tcBorders>
            <w:vAlign w:val="center"/>
          </w:tcPr>
          <w:p w14:paraId="6FD21800">
            <w:pPr>
              <w:spacing w:line="360" w:lineRule="auto"/>
              <w:jc w:val="center"/>
              <w:rPr>
                <w:b/>
                <w:sz w:val="24"/>
                <w:szCs w:val="24"/>
              </w:rPr>
            </w:pPr>
            <w:r>
              <w:rPr>
                <w:sz w:val="24"/>
                <w:szCs w:val="24"/>
              </w:rPr>
              <w:t xml:space="preserve">R$ </w:t>
            </w:r>
          </w:p>
        </w:tc>
      </w:tr>
      <w:tr w14:paraId="75FB14A6">
        <w:tblPrEx>
          <w:tblCellMar>
            <w:top w:w="0" w:type="dxa"/>
            <w:left w:w="70" w:type="dxa"/>
            <w:bottom w:w="0" w:type="dxa"/>
            <w:right w:w="70" w:type="dxa"/>
          </w:tblCellMar>
        </w:tblPrEx>
        <w:trPr>
          <w:trHeight w:val="397" w:hRule="atLeast"/>
        </w:trPr>
        <w:tc>
          <w:tcPr>
            <w:tcW w:w="737" w:type="dxa"/>
            <w:tcBorders>
              <w:top w:val="single" w:color="auto" w:sz="12" w:space="0"/>
              <w:left w:val="single" w:color="auto" w:sz="12" w:space="0"/>
              <w:bottom w:val="single" w:color="auto" w:sz="12" w:space="0"/>
              <w:right w:val="single" w:color="auto" w:sz="12" w:space="0"/>
            </w:tcBorders>
            <w:shd w:val="clear" w:color="auto" w:fill="auto"/>
            <w:vAlign w:val="center"/>
          </w:tcPr>
          <w:p w14:paraId="469BBA0E">
            <w:pPr>
              <w:numPr>
                <w:ilvl w:val="0"/>
                <w:numId w:val="15"/>
              </w:numPr>
              <w:suppressAutoHyphens w:val="0"/>
              <w:ind w:left="530"/>
              <w:jc w:val="center"/>
              <w:rPr>
                <w:color w:val="000000"/>
                <w:sz w:val="24"/>
                <w:szCs w:val="24"/>
                <w:lang w:eastAsia="pt-BR"/>
              </w:rPr>
            </w:pPr>
          </w:p>
        </w:tc>
        <w:tc>
          <w:tcPr>
            <w:tcW w:w="992" w:type="dxa"/>
            <w:tcBorders>
              <w:top w:val="single" w:color="auto" w:sz="12" w:space="0"/>
              <w:left w:val="nil"/>
              <w:bottom w:val="single" w:color="auto" w:sz="12" w:space="0"/>
              <w:right w:val="single" w:color="auto" w:sz="12" w:space="0"/>
            </w:tcBorders>
            <w:shd w:val="clear" w:color="auto" w:fill="auto"/>
            <w:vAlign w:val="center"/>
          </w:tcPr>
          <w:p w14:paraId="4EA0DC63">
            <w:pPr>
              <w:jc w:val="center"/>
              <w:textAlignment w:val="baseline"/>
              <w:rPr>
                <w:sz w:val="24"/>
                <w:szCs w:val="24"/>
              </w:rPr>
            </w:pPr>
            <w:r>
              <w:rPr>
                <w:sz w:val="24"/>
                <w:szCs w:val="24"/>
              </w:rPr>
              <w:t>2</w:t>
            </w:r>
          </w:p>
        </w:tc>
        <w:tc>
          <w:tcPr>
            <w:tcW w:w="737" w:type="dxa"/>
            <w:tcBorders>
              <w:top w:val="single" w:color="auto" w:sz="12" w:space="0"/>
              <w:left w:val="nil"/>
              <w:bottom w:val="single" w:color="auto" w:sz="12" w:space="0"/>
              <w:right w:val="single" w:color="auto" w:sz="12" w:space="0"/>
            </w:tcBorders>
            <w:vAlign w:val="center"/>
          </w:tcPr>
          <w:p w14:paraId="79B1E526">
            <w:pPr>
              <w:jc w:val="center"/>
              <w:rPr>
                <w:sz w:val="24"/>
                <w:szCs w:val="24"/>
              </w:rPr>
            </w:pPr>
            <w:r>
              <w:rPr>
                <w:sz w:val="24"/>
                <w:szCs w:val="24"/>
              </w:rPr>
              <w:t>UND</w:t>
            </w:r>
          </w:p>
        </w:tc>
        <w:tc>
          <w:tcPr>
            <w:tcW w:w="3912" w:type="dxa"/>
            <w:tcBorders>
              <w:top w:val="single" w:color="auto" w:sz="12" w:space="0"/>
              <w:left w:val="single" w:color="auto" w:sz="12" w:space="0"/>
              <w:bottom w:val="single" w:color="auto" w:sz="12" w:space="0"/>
              <w:right w:val="single" w:color="auto" w:sz="12" w:space="0"/>
            </w:tcBorders>
            <w:vAlign w:val="center"/>
          </w:tcPr>
          <w:p w14:paraId="5E0C2C9C">
            <w:pPr>
              <w:jc w:val="both"/>
              <w:rPr>
                <w:sz w:val="24"/>
                <w:szCs w:val="24"/>
              </w:rPr>
            </w:pPr>
            <w:r>
              <w:rPr>
                <w:rFonts w:ascii="Arial" w:hAnsi="Arial" w:cs="Arial"/>
                <w:color w:val="000000"/>
                <w:lang w:eastAsia="pt-BR"/>
              </w:rPr>
              <w:t xml:space="preserve">Escrivaninha para estudos em madeira industrial, Produzido em MDF, Partes em MDP, Pintura em UV, </w:t>
            </w:r>
            <w:r>
              <w:rPr>
                <w:rFonts w:ascii="Arial" w:hAnsi="Arial" w:cs="Arial"/>
                <w:b/>
                <w:bCs/>
                <w:color w:val="000000"/>
                <w:lang w:eastAsia="pt-BR"/>
              </w:rPr>
              <w:t>Informações Técnicas</w:t>
            </w:r>
            <w:r>
              <w:rPr>
                <w:rFonts w:ascii="Arial" w:hAnsi="Arial" w:cs="Arial"/>
                <w:color w:val="000000"/>
                <w:lang w:eastAsia="pt-BR"/>
              </w:rPr>
              <w:t>: Altura: 134 cm, Largura: 121 cm, Profundidade: 47 cm</w:t>
            </w:r>
          </w:p>
        </w:tc>
        <w:tc>
          <w:tcPr>
            <w:tcW w:w="1304" w:type="dxa"/>
            <w:tcBorders>
              <w:top w:val="single" w:color="auto" w:sz="12" w:space="0"/>
              <w:left w:val="single" w:color="auto" w:sz="12" w:space="0"/>
              <w:bottom w:val="single" w:color="auto" w:sz="12" w:space="0"/>
              <w:right w:val="single" w:color="auto" w:sz="12" w:space="0"/>
            </w:tcBorders>
            <w:vAlign w:val="center"/>
          </w:tcPr>
          <w:p w14:paraId="5B4C2373">
            <w:pPr>
              <w:spacing w:line="360" w:lineRule="auto"/>
              <w:jc w:val="center"/>
              <w:rPr>
                <w:b/>
                <w:sz w:val="24"/>
                <w:szCs w:val="24"/>
              </w:rPr>
            </w:pPr>
            <w:r>
              <w:rPr>
                <w:sz w:val="24"/>
                <w:szCs w:val="24"/>
              </w:rPr>
              <w:t xml:space="preserve">R$ </w:t>
            </w:r>
          </w:p>
        </w:tc>
        <w:tc>
          <w:tcPr>
            <w:tcW w:w="1417" w:type="dxa"/>
            <w:tcBorders>
              <w:top w:val="single" w:color="auto" w:sz="12" w:space="0"/>
              <w:left w:val="single" w:color="auto" w:sz="12" w:space="0"/>
              <w:bottom w:val="single" w:color="auto" w:sz="12" w:space="0"/>
              <w:right w:val="single" w:color="auto" w:sz="12" w:space="0"/>
            </w:tcBorders>
            <w:vAlign w:val="center"/>
          </w:tcPr>
          <w:p w14:paraId="7A394096">
            <w:pPr>
              <w:spacing w:line="360" w:lineRule="auto"/>
              <w:jc w:val="center"/>
              <w:rPr>
                <w:b/>
                <w:sz w:val="24"/>
                <w:szCs w:val="24"/>
              </w:rPr>
            </w:pPr>
            <w:r>
              <w:rPr>
                <w:sz w:val="24"/>
                <w:szCs w:val="24"/>
              </w:rPr>
              <w:t>R$</w:t>
            </w:r>
          </w:p>
        </w:tc>
      </w:tr>
      <w:tr w14:paraId="302E5B0E">
        <w:tblPrEx>
          <w:tblCellMar>
            <w:top w:w="0" w:type="dxa"/>
            <w:left w:w="70" w:type="dxa"/>
            <w:bottom w:w="0" w:type="dxa"/>
            <w:right w:w="70" w:type="dxa"/>
          </w:tblCellMar>
        </w:tblPrEx>
        <w:trPr>
          <w:trHeight w:val="397" w:hRule="atLeast"/>
        </w:trPr>
        <w:tc>
          <w:tcPr>
            <w:tcW w:w="737" w:type="dxa"/>
            <w:tcBorders>
              <w:top w:val="single" w:color="auto" w:sz="12" w:space="0"/>
              <w:left w:val="single" w:color="auto" w:sz="12" w:space="0"/>
              <w:bottom w:val="single" w:color="auto" w:sz="12" w:space="0"/>
              <w:right w:val="single" w:color="auto" w:sz="12" w:space="0"/>
            </w:tcBorders>
            <w:shd w:val="clear" w:color="auto" w:fill="auto"/>
            <w:vAlign w:val="center"/>
          </w:tcPr>
          <w:p w14:paraId="6BED5EA8">
            <w:pPr>
              <w:numPr>
                <w:ilvl w:val="0"/>
                <w:numId w:val="15"/>
              </w:numPr>
              <w:suppressAutoHyphens w:val="0"/>
              <w:ind w:left="530"/>
              <w:jc w:val="center"/>
              <w:rPr>
                <w:color w:val="000000"/>
                <w:sz w:val="24"/>
                <w:szCs w:val="24"/>
                <w:lang w:eastAsia="pt-BR"/>
              </w:rPr>
            </w:pPr>
          </w:p>
        </w:tc>
        <w:tc>
          <w:tcPr>
            <w:tcW w:w="992" w:type="dxa"/>
            <w:tcBorders>
              <w:top w:val="single" w:color="auto" w:sz="12" w:space="0"/>
              <w:left w:val="nil"/>
              <w:bottom w:val="single" w:color="auto" w:sz="12" w:space="0"/>
              <w:right w:val="single" w:color="auto" w:sz="12" w:space="0"/>
            </w:tcBorders>
            <w:shd w:val="clear" w:color="auto" w:fill="auto"/>
            <w:vAlign w:val="center"/>
          </w:tcPr>
          <w:p w14:paraId="0037895C">
            <w:pPr>
              <w:jc w:val="center"/>
              <w:textAlignment w:val="baseline"/>
              <w:rPr>
                <w:sz w:val="24"/>
                <w:szCs w:val="24"/>
              </w:rPr>
            </w:pPr>
            <w:r>
              <w:rPr>
                <w:color w:val="000000" w:themeColor="text1"/>
                <w:sz w:val="24"/>
                <w:szCs w:val="24"/>
                <w14:textFill>
                  <w14:solidFill>
                    <w14:schemeClr w14:val="tx1"/>
                  </w14:solidFill>
                </w14:textFill>
              </w:rPr>
              <w:t>2</w:t>
            </w:r>
          </w:p>
        </w:tc>
        <w:tc>
          <w:tcPr>
            <w:tcW w:w="737" w:type="dxa"/>
            <w:tcBorders>
              <w:top w:val="single" w:color="auto" w:sz="12" w:space="0"/>
              <w:left w:val="nil"/>
              <w:bottom w:val="single" w:color="auto" w:sz="12" w:space="0"/>
              <w:right w:val="single" w:color="auto" w:sz="12" w:space="0"/>
            </w:tcBorders>
            <w:vAlign w:val="center"/>
          </w:tcPr>
          <w:p w14:paraId="466CEB55">
            <w:pPr>
              <w:jc w:val="center"/>
              <w:rPr>
                <w:sz w:val="24"/>
                <w:szCs w:val="24"/>
              </w:rPr>
            </w:pPr>
            <w:r>
              <w:rPr>
                <w:sz w:val="24"/>
                <w:szCs w:val="24"/>
              </w:rPr>
              <w:t>UND</w:t>
            </w:r>
          </w:p>
        </w:tc>
        <w:tc>
          <w:tcPr>
            <w:tcW w:w="3912" w:type="dxa"/>
            <w:tcBorders>
              <w:top w:val="single" w:color="auto" w:sz="12" w:space="0"/>
              <w:left w:val="single" w:color="auto" w:sz="12" w:space="0"/>
              <w:bottom w:val="single" w:color="auto" w:sz="12" w:space="0"/>
              <w:right w:val="single" w:color="auto" w:sz="12" w:space="0"/>
            </w:tcBorders>
            <w:vAlign w:val="center"/>
          </w:tcPr>
          <w:p w14:paraId="38D52B44">
            <w:pPr>
              <w:spacing w:before="60" w:after="60"/>
              <w:rPr>
                <w:rFonts w:ascii="Arial" w:hAnsi="Arial" w:cs="Arial"/>
                <w:color w:val="000000"/>
                <w:lang w:eastAsia="pt-BR"/>
              </w:rPr>
            </w:pPr>
            <w:r>
              <w:rPr>
                <w:rFonts w:ascii="Arial" w:hAnsi="Arial" w:cs="Arial"/>
                <w:b/>
                <w:bCs/>
                <w:sz w:val="24"/>
                <w:szCs w:val="24"/>
                <w:lang w:eastAsia="pt-BR"/>
              </w:rPr>
              <w:t xml:space="preserve">Conjunto FNDE Refeitório M4C-03 </w:t>
            </w:r>
            <w:r>
              <w:rPr>
                <w:rFonts w:ascii="Arial" w:hAnsi="Arial" w:cs="Arial"/>
                <w:color w:val="000000"/>
                <w:lang w:eastAsia="pt-BR"/>
              </w:rPr>
              <w:t>Mesa: estrutura com pés em tubo de aço 1 1/2" em chapa 16 (1,5mm). Ref: M4C-03 Mesa.Travessa longitudinal em tubo de aço 40x40mm em chapa 16 (1,5mm). Travessas transversais em tubo de secção retangular 20x50mm em chapa 16 (1,5mm). Suportes estruturais e de fixação do tampo em chapa de aço espessura de 3mm. Aletas de fixação do tampo em chapa de aço 14 (1,9mm). Fixação do tampo à estruturas através de 02 parafusos 4.5x50 FH chato dourado e parafusos para aglomerado, de 4,5mm x 22mm, cabeça panela, fenda Phillips, bicromatizados. Ponteiras e sapatas em polipropileno copolímero virgem e sem cargas, injetadas na cor amarela fixadas à estrutura através de encaixe. Tampo(1200x600mm) em madeira aglomerada (MDP) espessura de 25mm, revestido na face superior em laminado melamínico de alta pressão, 0,8mm de espessura, acabamento frost, na cor branca. Revestimento na face inferior em laminado melamínico de baixa pressão - BP, acabamento frost, na cor branca. Topos transversais e longitudinais encabeçados com fita de bordo em PVC com primer, 29mm (largura) x 3mm (espessura), na cor amarela coladas com adesivo "Hot Melting". Altura 590mm.</w:t>
            </w:r>
          </w:p>
          <w:p w14:paraId="5D88958E">
            <w:pPr>
              <w:jc w:val="both"/>
              <w:rPr>
                <w:sz w:val="24"/>
                <w:szCs w:val="24"/>
              </w:rPr>
            </w:pPr>
          </w:p>
        </w:tc>
        <w:tc>
          <w:tcPr>
            <w:tcW w:w="1304" w:type="dxa"/>
            <w:tcBorders>
              <w:top w:val="single" w:color="auto" w:sz="12" w:space="0"/>
              <w:left w:val="single" w:color="auto" w:sz="12" w:space="0"/>
              <w:bottom w:val="single" w:color="auto" w:sz="12" w:space="0"/>
              <w:right w:val="single" w:color="auto" w:sz="12" w:space="0"/>
            </w:tcBorders>
            <w:vAlign w:val="center"/>
          </w:tcPr>
          <w:p w14:paraId="415C8B45">
            <w:pPr>
              <w:spacing w:line="360" w:lineRule="auto"/>
              <w:jc w:val="center"/>
              <w:rPr>
                <w:b/>
                <w:sz w:val="24"/>
                <w:szCs w:val="24"/>
              </w:rPr>
            </w:pPr>
            <w:r>
              <w:rPr>
                <w:sz w:val="24"/>
                <w:szCs w:val="24"/>
              </w:rPr>
              <w:t>R$</w:t>
            </w:r>
          </w:p>
        </w:tc>
        <w:tc>
          <w:tcPr>
            <w:tcW w:w="1417" w:type="dxa"/>
            <w:tcBorders>
              <w:top w:val="single" w:color="auto" w:sz="12" w:space="0"/>
              <w:left w:val="single" w:color="auto" w:sz="12" w:space="0"/>
              <w:bottom w:val="single" w:color="auto" w:sz="12" w:space="0"/>
              <w:right w:val="single" w:color="auto" w:sz="12" w:space="0"/>
            </w:tcBorders>
            <w:vAlign w:val="center"/>
          </w:tcPr>
          <w:p w14:paraId="3A20E9A4">
            <w:pPr>
              <w:spacing w:line="360" w:lineRule="auto"/>
              <w:jc w:val="center"/>
              <w:rPr>
                <w:b/>
                <w:sz w:val="24"/>
                <w:szCs w:val="24"/>
              </w:rPr>
            </w:pPr>
            <w:r>
              <w:rPr>
                <w:sz w:val="24"/>
                <w:szCs w:val="24"/>
              </w:rPr>
              <w:t>R$</w:t>
            </w:r>
            <w:r>
              <w:t xml:space="preserve"> </w:t>
            </w:r>
          </w:p>
        </w:tc>
      </w:tr>
    </w:tbl>
    <w:p w14:paraId="5F4AE3D7">
      <w:pPr>
        <w:pStyle w:val="17"/>
        <w:widowControl w:val="0"/>
        <w:autoSpaceDE w:val="0"/>
        <w:autoSpaceDN w:val="0"/>
        <w:spacing w:after="0" w:line="360" w:lineRule="auto"/>
        <w:ind w:left="0"/>
        <w:contextualSpacing w:val="0"/>
        <w:jc w:val="both"/>
        <w:rPr>
          <w:rFonts w:ascii="Arial" w:hAnsi="Arial" w:cs="Arial"/>
          <w:sz w:val="24"/>
          <w:szCs w:val="24"/>
          <w:highlight w:val="yellow"/>
        </w:rPr>
      </w:pPr>
    </w:p>
    <w:p w14:paraId="4A2AEF2F">
      <w:pPr>
        <w:pStyle w:val="17"/>
        <w:numPr>
          <w:ilvl w:val="0"/>
          <w:numId w:val="0"/>
        </w:numPr>
        <w:tabs>
          <w:tab w:val="left" w:pos="524"/>
        </w:tabs>
        <w:spacing w:before="1"/>
        <w:ind w:left="285" w:leftChars="0"/>
        <w:rPr>
          <w:rFonts w:ascii="Times New Roman" w:hAnsi="Times New Roman"/>
          <w:b/>
          <w:bCs/>
        </w:rPr>
      </w:pPr>
      <w:r>
        <w:rPr>
          <w:rFonts w:ascii="Times New Roman" w:hAnsi="Times New Roman" w:cs="Times New Roman"/>
          <w:b/>
          <w:bCs/>
        </w:rPr>
        <w:t>OBJETO :</w:t>
      </w:r>
      <w:r>
        <w:rPr>
          <w:rFonts w:ascii="Times New Roman" w:hAnsi="Times New Roman" w:eastAsia="Arial" w:cs="Times New Roman"/>
          <w:b/>
        </w:rPr>
        <w:t xml:space="preserve"> </w:t>
      </w:r>
      <w:r>
        <w:rPr>
          <w:rFonts w:hint="default" w:ascii="Times New Roman" w:hAnsi="Times New Roman" w:eastAsia="Courier New" w:cs="Times New Roman"/>
          <w:b/>
          <w:spacing w:val="19"/>
          <w:w w:val="115"/>
          <w:sz w:val="22"/>
          <w:szCs w:val="22"/>
          <w:lang w:val="pt-BR" w:eastAsia="en-US" w:bidi="ar-SA"/>
        </w:rPr>
        <w:t>REGISTRO DE PREÇO PARA AQUISIÇÃO DE CONJUNTOS COLETIVOS CJC- COMPOSTOA POR  MESA COM 4 CADEIRAS, CONJUNTO FNDE REFEITORIO M4C-03 E ESCRIVANINHAS PARA ESTUDOS EM MADEIRA INDUSTRIAL</w:t>
      </w:r>
    </w:p>
    <w:p w14:paraId="55D49274">
      <w:pPr>
        <w:pStyle w:val="36"/>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10"/>
        <w:spacing w:before="11"/>
        <w:rPr>
          <w:rFonts w:ascii="Times New Roman" w:hAnsi="Times New Roman" w:cs="Times New Roman"/>
          <w:sz w:val="22"/>
          <w:szCs w:val="22"/>
        </w:rPr>
      </w:pPr>
    </w:p>
    <w:p w14:paraId="75DECF10">
      <w:pPr>
        <w:pStyle w:val="10"/>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10"/>
        <w:rPr>
          <w:rFonts w:ascii="Times New Roman" w:hAnsi="Times New Roman" w:cs="Times New Roman"/>
          <w:sz w:val="22"/>
          <w:szCs w:val="22"/>
        </w:rPr>
      </w:pPr>
    </w:p>
    <w:p w14:paraId="32091D2C">
      <w:pPr>
        <w:pStyle w:val="10"/>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10"/>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10"/>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10"/>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10"/>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10"/>
        <w:spacing w:before="1" w:line="288" w:lineRule="auto"/>
        <w:ind w:right="562"/>
        <w:rPr>
          <w:rFonts w:ascii="Times New Roman" w:hAnsi="Times New Roman" w:cs="Times New Roman"/>
          <w:sz w:val="22"/>
          <w:szCs w:val="22"/>
          <w:lang w:val="pt-BR"/>
        </w:rPr>
      </w:pPr>
    </w:p>
    <w:p w14:paraId="0D551130">
      <w:pPr>
        <w:pStyle w:val="10"/>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10"/>
        <w:tabs>
          <w:tab w:val="left" w:pos="2357"/>
          <w:tab w:val="left" w:pos="4753"/>
          <w:tab w:val="left" w:pos="5863"/>
        </w:tabs>
        <w:rPr>
          <w:rFonts w:ascii="Times New Roman" w:hAnsi="Times New Roman" w:cs="Times New Roman"/>
          <w:sz w:val="22"/>
          <w:szCs w:val="22"/>
        </w:rPr>
      </w:pPr>
    </w:p>
    <w:p w14:paraId="5A0C0A81">
      <w:pPr>
        <w:pStyle w:val="10"/>
        <w:tabs>
          <w:tab w:val="left" w:pos="2357"/>
          <w:tab w:val="left" w:pos="4753"/>
          <w:tab w:val="left" w:pos="5863"/>
        </w:tabs>
        <w:rPr>
          <w:rFonts w:ascii="Times New Roman" w:hAnsi="Times New Roman" w:cs="Times New Roman"/>
          <w:sz w:val="22"/>
          <w:szCs w:val="22"/>
        </w:rPr>
      </w:pPr>
    </w:p>
    <w:p w14:paraId="1AFBEB3B">
      <w:pPr>
        <w:pStyle w:val="10"/>
        <w:tabs>
          <w:tab w:val="left" w:pos="2357"/>
          <w:tab w:val="left" w:pos="4753"/>
          <w:tab w:val="left" w:pos="5863"/>
        </w:tabs>
        <w:rPr>
          <w:rFonts w:ascii="Times New Roman" w:hAnsi="Times New Roman" w:cs="Times New Roman"/>
          <w:sz w:val="22"/>
          <w:szCs w:val="22"/>
        </w:rPr>
      </w:pPr>
    </w:p>
    <w:p w14:paraId="4D7BED48">
      <w:pPr>
        <w:pStyle w:val="10"/>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10"/>
        <w:spacing w:before="3"/>
        <w:jc w:val="center"/>
        <w:rPr>
          <w:rFonts w:ascii="Times New Roman" w:hAnsi="Times New Roman" w:cs="Times New Roman"/>
          <w:sz w:val="22"/>
          <w:szCs w:val="22"/>
        </w:rPr>
      </w:pPr>
    </w:p>
    <w:p w14:paraId="1C07D6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4546D115">
      <w:pPr>
        <w:pStyle w:val="10"/>
        <w:ind w:left="0"/>
        <w:jc w:val="left"/>
        <w:rPr>
          <w:rFonts w:ascii="Times New Roman" w:hAnsi="Times New Roman" w:cs="Times New Roman"/>
          <w:sz w:val="22"/>
          <w:szCs w:val="22"/>
        </w:rPr>
      </w:pPr>
    </w:p>
    <w:p w14:paraId="73CA3C96">
      <w:pPr>
        <w:rPr>
          <w:rFonts w:ascii="Times New Roman" w:hAnsi="Times New Roman" w:cs="Times New Roman"/>
          <w:b/>
          <w:bCs/>
        </w:rPr>
      </w:pPr>
    </w:p>
    <w:p w14:paraId="0C9F9C21">
      <w:pPr>
        <w:rPr>
          <w:rFonts w:ascii="Times New Roman" w:hAnsi="Times New Roman" w:cs="Times New Roman"/>
          <w:b/>
          <w:bCs/>
        </w:rPr>
      </w:pPr>
    </w:p>
    <w:p w14:paraId="7064A0AE">
      <w:pPr>
        <w:rPr>
          <w:rFonts w:ascii="Times New Roman" w:hAnsi="Times New Roman" w:cs="Times New Roman"/>
          <w:b/>
          <w:bCs/>
        </w:rPr>
      </w:pPr>
    </w:p>
    <w:p w14:paraId="3999278C">
      <w:pPr>
        <w:rPr>
          <w:rFonts w:ascii="Times New Roman" w:hAnsi="Times New Roman" w:cs="Times New Roman"/>
          <w:b/>
          <w:bCs/>
        </w:rPr>
      </w:pPr>
    </w:p>
    <w:p w14:paraId="12268D8A">
      <w:pPr>
        <w:rPr>
          <w:rFonts w:ascii="Times New Roman" w:hAnsi="Times New Roman" w:cs="Times New Roman"/>
          <w:b/>
          <w:bCs/>
        </w:rPr>
      </w:pPr>
    </w:p>
    <w:p w14:paraId="6E3BF2F0">
      <w:pPr>
        <w:rPr>
          <w:rFonts w:ascii="Times New Roman" w:hAnsi="Times New Roman" w:cs="Times New Roman"/>
          <w:b/>
          <w:bCs/>
        </w:rPr>
      </w:pPr>
    </w:p>
    <w:p w14:paraId="403C4E7D">
      <w:pPr>
        <w:rPr>
          <w:rFonts w:ascii="Times New Roman" w:hAnsi="Times New Roman" w:cs="Times New Roman"/>
          <w:b/>
          <w:bCs/>
        </w:rPr>
      </w:pPr>
    </w:p>
    <w:p w14:paraId="39FD53AC">
      <w:pPr>
        <w:rPr>
          <w:rFonts w:ascii="Times New Roman" w:hAnsi="Times New Roman" w:cs="Times New Roman"/>
          <w:b/>
          <w:bCs/>
        </w:rPr>
      </w:pPr>
    </w:p>
    <w:p w14:paraId="795F89C1">
      <w:pPr>
        <w:rPr>
          <w:rFonts w:ascii="Times New Roman" w:hAnsi="Times New Roman" w:cs="Times New Roman"/>
          <w:b/>
          <w:bCs/>
        </w:rPr>
      </w:pPr>
    </w:p>
    <w:p w14:paraId="2D076D70">
      <w:pPr>
        <w:rPr>
          <w:rFonts w:ascii="Times New Roman" w:hAnsi="Times New Roman" w:cs="Times New Roman"/>
          <w:b/>
          <w:bCs/>
        </w:rPr>
      </w:pPr>
    </w:p>
    <w:p w14:paraId="7C918992">
      <w:pPr>
        <w:rPr>
          <w:rFonts w:ascii="Times New Roman" w:hAnsi="Times New Roman" w:cs="Times New Roman"/>
          <w:b/>
          <w:bCs/>
        </w:rPr>
      </w:pPr>
    </w:p>
    <w:p w14:paraId="1A468A31">
      <w:pPr>
        <w:rPr>
          <w:rFonts w:ascii="Times New Roman" w:hAnsi="Times New Roman" w:cs="Times New Roman"/>
          <w:b/>
          <w:bCs/>
        </w:rPr>
      </w:pPr>
    </w:p>
    <w:p w14:paraId="5E1F093F">
      <w:pPr>
        <w:rPr>
          <w:rFonts w:ascii="Times New Roman" w:hAnsi="Times New Roman" w:cs="Times New Roman"/>
          <w:b/>
          <w:bCs/>
        </w:rPr>
      </w:pPr>
    </w:p>
    <w:p w14:paraId="53AFAD4E">
      <w:pPr>
        <w:rPr>
          <w:rFonts w:ascii="Times New Roman" w:hAnsi="Times New Roman" w:cs="Times New Roman"/>
          <w:b/>
          <w:bCs/>
        </w:rPr>
      </w:pPr>
    </w:p>
    <w:p w14:paraId="16A2B237">
      <w:pPr>
        <w:rPr>
          <w:rFonts w:ascii="Times New Roman" w:hAnsi="Times New Roman" w:cs="Times New Roman"/>
          <w:b/>
          <w:bCs/>
        </w:rPr>
      </w:pPr>
    </w:p>
    <w:p w14:paraId="77CA6A65">
      <w:pPr>
        <w:rPr>
          <w:rFonts w:ascii="Times New Roman" w:hAnsi="Times New Roman" w:cs="Times New Roman"/>
          <w:b/>
          <w:bCs/>
        </w:rPr>
      </w:pPr>
    </w:p>
    <w:p w14:paraId="7F7AEB37">
      <w:pPr>
        <w:rPr>
          <w:rFonts w:ascii="Times New Roman" w:hAnsi="Times New Roman" w:cs="Times New Roman"/>
          <w:b/>
          <w:bCs/>
        </w:rPr>
      </w:pPr>
    </w:p>
    <w:p w14:paraId="6267328C">
      <w:pPr>
        <w:rPr>
          <w:rFonts w:ascii="Times New Roman" w:hAnsi="Times New Roman" w:cs="Times New Roman"/>
          <w:b/>
          <w:bCs/>
        </w:rPr>
      </w:pPr>
    </w:p>
    <w:p w14:paraId="00EAC17E">
      <w:pPr>
        <w:rPr>
          <w:rFonts w:ascii="Times New Roman" w:hAnsi="Times New Roman" w:cs="Times New Roman"/>
          <w:b/>
          <w:bCs/>
        </w:rPr>
      </w:pPr>
    </w:p>
    <w:p w14:paraId="46766237">
      <w:pPr>
        <w:rPr>
          <w:rFonts w:ascii="Times New Roman" w:hAnsi="Times New Roman" w:cs="Times New Roman"/>
          <w:b/>
          <w:bCs/>
        </w:rPr>
      </w:pPr>
    </w:p>
    <w:p w14:paraId="530C1C85">
      <w:pPr>
        <w:rPr>
          <w:rFonts w:ascii="Times New Roman" w:hAnsi="Times New Roman" w:cs="Times New Roman"/>
          <w:b/>
          <w:bCs/>
        </w:rPr>
      </w:pPr>
    </w:p>
    <w:p w14:paraId="66708D53">
      <w:pPr>
        <w:rPr>
          <w:rFonts w:ascii="Times New Roman" w:hAnsi="Times New Roman" w:cs="Times New Roman"/>
          <w:b/>
          <w:bCs/>
        </w:rPr>
      </w:pPr>
    </w:p>
    <w:p w14:paraId="33EEBC6E">
      <w:pPr>
        <w:rPr>
          <w:rFonts w:ascii="Times New Roman" w:hAnsi="Times New Roman" w:cs="Times New Roman"/>
          <w:b/>
          <w:bCs/>
        </w:rPr>
      </w:pPr>
    </w:p>
    <w:p w14:paraId="39DAA758">
      <w:pPr>
        <w:rPr>
          <w:rFonts w:ascii="Times New Roman" w:hAnsi="Times New Roman" w:cs="Times New Roman"/>
          <w:b/>
          <w:bCs/>
        </w:rPr>
      </w:pPr>
    </w:p>
    <w:p w14:paraId="3D4BE682">
      <w:pPr>
        <w:rPr>
          <w:rFonts w:ascii="Times New Roman" w:hAnsi="Times New Roman" w:cs="Times New Roman"/>
          <w:b/>
          <w:bCs/>
        </w:rPr>
      </w:pPr>
    </w:p>
    <w:p w14:paraId="237B07F3">
      <w:pPr>
        <w:rPr>
          <w:rFonts w:ascii="Times New Roman" w:hAnsi="Times New Roman" w:cs="Times New Roman"/>
          <w:b/>
          <w:bCs/>
        </w:rPr>
      </w:pPr>
    </w:p>
    <w:p w14:paraId="5CF89BD9">
      <w:pPr>
        <w:rPr>
          <w:rFonts w:ascii="Times New Roman" w:hAnsi="Times New Roman" w:cs="Times New Roman"/>
          <w:b/>
          <w:bCs/>
        </w:rPr>
      </w:pPr>
    </w:p>
    <w:p w14:paraId="5A56E392">
      <w:pPr>
        <w:rPr>
          <w:rFonts w:ascii="Times New Roman" w:hAnsi="Times New Roman" w:cs="Times New Roman"/>
          <w:b/>
          <w:bCs/>
        </w:rPr>
      </w:pPr>
    </w:p>
    <w:p w14:paraId="4FAB5D56">
      <w:pPr>
        <w:rPr>
          <w:rFonts w:ascii="Times New Roman" w:hAnsi="Times New Roman" w:cs="Times New Roman"/>
          <w:b/>
          <w:bCs/>
        </w:rPr>
      </w:pPr>
    </w:p>
    <w:p w14:paraId="2301B466">
      <w:pPr>
        <w:rPr>
          <w:rFonts w:ascii="Times New Roman" w:hAnsi="Times New Roman" w:cs="Times New Roman"/>
          <w:b/>
          <w:bCs/>
        </w:rPr>
      </w:pPr>
    </w:p>
    <w:p w14:paraId="1B92D2E0">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PROCESSO LICITATÓRIO N ° 0</w:t>
      </w:r>
      <w:r>
        <w:rPr>
          <w:rFonts w:hint="default" w:ascii="Times New Roman" w:hAnsi="Times New Roman" w:cs="Times New Roman"/>
          <w:lang w:val="pt-BR"/>
        </w:rPr>
        <w:t>197</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DISPENSA ELETRÔNICA  Nº 0</w:t>
      </w:r>
      <w:r>
        <w:rPr>
          <w:rFonts w:hint="default" w:ascii="Times New Roman" w:hAnsi="Times New Roman" w:cs="Times New Roman"/>
          <w:lang w:val="pt-BR"/>
        </w:rPr>
        <w:t>75</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REGISTRO DE PREÇOS Nº 0</w:t>
      </w:r>
      <w:r>
        <w:rPr>
          <w:rFonts w:hint="default" w:ascii="Times New Roman" w:hAnsi="Times New Roman" w:cs="Times New Roman"/>
          <w:lang w:val="pt-BR"/>
        </w:rPr>
        <w:t>50</w:t>
      </w:r>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Aos 00 dias do mês de janeiro de 2025, autorizado no processo de DISPENSA ELETRÔNICA Nº 0</w:t>
      </w:r>
      <w:r>
        <w:rPr>
          <w:rFonts w:hint="default" w:ascii="Times New Roman" w:hAnsi="Times New Roman" w:cs="Times New Roman"/>
          <w:lang w:val="pt-BR"/>
        </w:rPr>
        <w:t>75</w:t>
      </w:r>
      <w:r>
        <w:rPr>
          <w:rFonts w:ascii="Times New Roman" w:hAnsi="Times New Roman" w:cs="Times New Roman"/>
        </w:rPr>
        <w:t>/2025 REGISTRO DE PREÇOS Nº 0</w:t>
      </w:r>
      <w:r>
        <w:rPr>
          <w:rFonts w:hint="default" w:ascii="Times New Roman" w:hAnsi="Times New Roman" w:cs="Times New Roman"/>
          <w:lang w:val="pt-BR"/>
        </w:rPr>
        <w:t>50</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5"/>
        <w:keepLines w:val="0"/>
        <w:widowControl/>
        <w:numPr>
          <w:ilvl w:val="4"/>
          <w:numId w:val="17"/>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2"/>
        <w:numPr>
          <w:ilvl w:val="0"/>
          <w:numId w:val="18"/>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pStyle w:val="17"/>
        <w:numPr>
          <w:ilvl w:val="0"/>
          <w:numId w:val="14"/>
        </w:numPr>
        <w:tabs>
          <w:tab w:val="left" w:pos="524"/>
        </w:tabs>
        <w:spacing w:before="1"/>
        <w:ind w:left="239" w:leftChars="0" w:hanging="239" w:firstLineChars="0"/>
        <w:rPr>
          <w:rFonts w:ascii="Times New Roman" w:hAnsi="Times New Roman" w:cs="Times New Roman"/>
          <w:b/>
        </w:rPr>
      </w:pPr>
      <w:r>
        <w:rPr>
          <w:rFonts w:ascii="Times New Roman" w:hAnsi="Times New Roman" w:cs="Times New Roman"/>
        </w:rPr>
        <w:t xml:space="preserve">A presente Ata tem por objeto </w:t>
      </w:r>
      <w:r>
        <w:rPr>
          <w:rFonts w:ascii="Times New Roman" w:hAnsi="Times New Roman" w:cs="Times New Roman"/>
          <w:b/>
          <w:spacing w:val="-2"/>
          <w:w w:val="120"/>
        </w:rPr>
        <w:t xml:space="preserve"> </w:t>
      </w:r>
      <w:r>
        <w:rPr>
          <w:rFonts w:hint="default" w:ascii="Times New Roman" w:hAnsi="Times New Roman" w:eastAsia="Courier New" w:cs="Times New Roman"/>
          <w:b/>
          <w:spacing w:val="19"/>
          <w:w w:val="115"/>
          <w:sz w:val="22"/>
          <w:szCs w:val="22"/>
          <w:lang w:val="pt-BR" w:eastAsia="en-US" w:bidi="ar-SA"/>
        </w:rPr>
        <w:t>REGISTRO DE PREÇO PARA AQUISIÇÃO DE CONJUNTOS COLETIVOS CJC- COMPOSTOA POR  MESA COM 4 CADEIRAS, CONJUNTO FNDE REFEITORIO M4C-03 E ESCRIVANINHAS PARA ESTUDOS EM MADEIRA INDUSTRIAL</w:t>
      </w:r>
      <w:r>
        <w:rPr>
          <w:rFonts w:hint="default" w:ascii="Times New Roman" w:hAnsi="Times New Roman" w:cs="Times New Roman"/>
          <w:b/>
          <w:w w:val="115"/>
          <w:sz w:val="22"/>
          <w:szCs w:val="22"/>
          <w:lang w:val="pt-BR" w:eastAsia="en-US" w:bidi="ar-SA"/>
        </w:rPr>
        <w:t xml:space="preserve"> </w:t>
      </w:r>
      <w:r>
        <w:rPr>
          <w:rFonts w:ascii="Times New Roman" w:hAnsi="Times New Roman" w:cs="Times New Roman"/>
        </w:rPr>
        <w:t>o especificado(s) no(s) item(ns) 1 do Termo de Referência, anexo I do edital de Licitação que é parte integrante desta Ata, assim como as propostas cujos preços tenham sido registrados, independentemente de transcrição.</w:t>
      </w:r>
    </w:p>
    <w:p w14:paraId="3E20FCA4">
      <w:pPr>
        <w:pStyle w:val="24"/>
        <w:numPr>
          <w:ilvl w:val="0"/>
          <w:numId w:val="0"/>
        </w:numPr>
        <w:rPr>
          <w:rFonts w:ascii="Times New Roman" w:hAnsi="Times New Roman" w:eastAsia="Calibri" w:cs="Times New Roman"/>
          <w:sz w:val="22"/>
          <w:szCs w:val="22"/>
          <w:lang w:eastAsia="en-US"/>
        </w:rPr>
      </w:pPr>
    </w:p>
    <w:p w14:paraId="1288EE1B">
      <w:pPr>
        <w:pStyle w:val="22"/>
        <w:numPr>
          <w:ilvl w:val="0"/>
          <w:numId w:val="18"/>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4"/>
        <w:numPr>
          <w:ilvl w:val="1"/>
          <w:numId w:val="19"/>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2"/>
        <w:numPr>
          <w:ilvl w:val="0"/>
          <w:numId w:val="18"/>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2"/>
        <w:numPr>
          <w:ilvl w:val="0"/>
          <w:numId w:val="18"/>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6"/>
        <w:numPr>
          <w:ilvl w:val="1"/>
          <w:numId w:val="18"/>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8"/>
        <w:numPr>
          <w:ilvl w:val="2"/>
          <w:numId w:val="18"/>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8"/>
        <w:numPr>
          <w:ilvl w:val="2"/>
          <w:numId w:val="18"/>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8"/>
        <w:numPr>
          <w:ilvl w:val="2"/>
          <w:numId w:val="18"/>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6"/>
        <w:numPr>
          <w:ilvl w:val="1"/>
          <w:numId w:val="18"/>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8"/>
        <w:numPr>
          <w:ilvl w:val="2"/>
          <w:numId w:val="18"/>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6"/>
        <w:numPr>
          <w:ilvl w:val="1"/>
          <w:numId w:val="18"/>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6"/>
        <w:numPr>
          <w:ilvl w:val="1"/>
          <w:numId w:val="18"/>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6"/>
        <w:numPr>
          <w:ilvl w:val="1"/>
          <w:numId w:val="18"/>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6"/>
        <w:numPr>
          <w:ilvl w:val="1"/>
          <w:numId w:val="18"/>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6"/>
        <w:numPr>
          <w:ilvl w:val="1"/>
          <w:numId w:val="18"/>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6"/>
        <w:numPr>
          <w:ilvl w:val="1"/>
          <w:numId w:val="18"/>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2"/>
        <w:numPr>
          <w:ilvl w:val="0"/>
          <w:numId w:val="18"/>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30"/>
        <w:numPr>
          <w:ilvl w:val="2"/>
          <w:numId w:val="18"/>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31"/>
        <w:numPr>
          <w:ilvl w:val="3"/>
          <w:numId w:val="18"/>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31"/>
        <w:numPr>
          <w:ilvl w:val="3"/>
          <w:numId w:val="18"/>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2"/>
        <w:numPr>
          <w:ilvl w:val="0"/>
          <w:numId w:val="18"/>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31"/>
        <w:numPr>
          <w:ilvl w:val="3"/>
          <w:numId w:val="18"/>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31"/>
        <w:numPr>
          <w:ilvl w:val="3"/>
          <w:numId w:val="18"/>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2"/>
        <w:numPr>
          <w:ilvl w:val="0"/>
          <w:numId w:val="18"/>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2"/>
        <w:numPr>
          <w:ilvl w:val="0"/>
          <w:numId w:val="18"/>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2"/>
        <w:numPr>
          <w:ilvl w:val="0"/>
          <w:numId w:val="18"/>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31"/>
        <w:numPr>
          <w:ilvl w:val="3"/>
          <w:numId w:val="18"/>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2"/>
        <w:numPr>
          <w:ilvl w:val="0"/>
          <w:numId w:val="18"/>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30"/>
        <w:numPr>
          <w:ilvl w:val="2"/>
          <w:numId w:val="18"/>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2"/>
        <w:numPr>
          <w:ilvl w:val="0"/>
          <w:numId w:val="18"/>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5"/>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20"/>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1"/>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1"/>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20"/>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2"/>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2"/>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10"/>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Arial-BoldMT">
    <w:altName w:val="Segoe Print"/>
    <w:panose1 w:val="000000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Wingdings">
    <w:panose1 w:val="05000000000000000000"/>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3"/>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3"/>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3"/>
      <w:jc w:val="center"/>
      <w:rPr>
        <w:rFonts w:ascii="Times New Roman" w:hAnsi="Times New Roman" w:cs="Times New Roman"/>
        <w:b/>
        <w:bCs/>
        <w:sz w:val="48"/>
        <w:szCs w:val="48"/>
      </w:rPr>
    </w:pPr>
  </w:p>
  <w:p w14:paraId="11364535">
    <w:pPr>
      <w:pStyle w:val="13"/>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3"/>
      <w:ind w:left="-142"/>
      <w:jc w:val="center"/>
      <w:rPr>
        <w:b/>
        <w:bCs/>
        <w:sz w:val="48"/>
        <w:szCs w:val="48"/>
      </w:rPr>
    </w:pP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486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384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281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179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3"/>
      <w:jc w:val="center"/>
      <w:rPr>
        <w:b/>
        <w:bCs/>
        <w:sz w:val="48"/>
        <w:szCs w:val="48"/>
      </w:rPr>
    </w:pPr>
    <w:r>
      <w:rPr>
        <w:b/>
        <w:bCs/>
        <w:sz w:val="48"/>
        <w:szCs w:val="48"/>
      </w:rPr>
      <w:t>MUNICÍPIO DE RIFAINA</w:t>
    </w:r>
  </w:p>
  <w:p w14:paraId="6013E11A">
    <w:pPr>
      <w:pStyle w:val="13"/>
      <w:jc w:val="center"/>
      <w:rPr>
        <w:b/>
        <w:bCs/>
        <w:sz w:val="32"/>
        <w:szCs w:val="32"/>
      </w:rPr>
    </w:pPr>
    <w:r>
      <w:rPr>
        <w:b/>
        <w:bCs/>
        <w:sz w:val="32"/>
        <w:szCs w:val="32"/>
      </w:rPr>
      <w:t>CNPJ 45.318.995/0001-71</w:t>
    </w:r>
  </w:p>
  <w:p w14:paraId="0DDE7236">
    <w:pPr>
      <w:pStyle w:val="13"/>
      <w:jc w:val="center"/>
      <w:rPr>
        <w:b/>
        <w:bCs/>
        <w:sz w:val="32"/>
        <w:szCs w:val="32"/>
      </w:rPr>
    </w:pPr>
    <w:r>
      <w:rPr>
        <w:lang w:val="pt-BR" w:eastAsia="pt-BR"/>
      </w:rPr>
      <w:t xml:space="preserve"> ‘</w:t>
    </w:r>
  </w:p>
  <w:p w14:paraId="10FEC0DB">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3"/>
      <w:ind w:left="-142"/>
      <w:jc w:val="center"/>
      <w:rPr>
        <w:b/>
        <w:bCs/>
        <w:sz w:val="48"/>
        <w:szCs w:val="48"/>
      </w:rPr>
    </w:pP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8960;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7936;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6912;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5888"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3"/>
      <w:jc w:val="center"/>
      <w:rPr>
        <w:b/>
        <w:bCs/>
        <w:sz w:val="48"/>
        <w:szCs w:val="48"/>
      </w:rPr>
    </w:pPr>
    <w:r>
      <w:rPr>
        <w:b/>
        <w:bCs/>
        <w:sz w:val="48"/>
        <w:szCs w:val="48"/>
      </w:rPr>
      <w:t>MUNICÍPIO DE RIFAINA</w:t>
    </w:r>
  </w:p>
  <w:p w14:paraId="40FE53F6">
    <w:pPr>
      <w:pStyle w:val="13"/>
      <w:jc w:val="center"/>
      <w:rPr>
        <w:b/>
        <w:bCs/>
        <w:sz w:val="32"/>
        <w:szCs w:val="32"/>
      </w:rPr>
    </w:pPr>
    <w:r>
      <w:rPr>
        <w:b/>
        <w:bCs/>
        <w:sz w:val="32"/>
        <w:szCs w:val="32"/>
      </w:rPr>
      <w:t>CNPJ 45.318.995/0001-71</w:t>
    </w:r>
  </w:p>
  <w:p w14:paraId="77E7ED6A">
    <w:pPr>
      <w:pStyle w:val="13"/>
      <w:jc w:val="center"/>
      <w:rPr>
        <w:b/>
        <w:bCs/>
        <w:sz w:val="32"/>
        <w:szCs w:val="32"/>
      </w:rPr>
    </w:pPr>
    <w:r>
      <w:rPr>
        <w:lang w:val="pt-BR" w:eastAsia="pt-BR"/>
      </w:rPr>
      <w:t xml:space="preserve"> ‘</w:t>
    </w:r>
  </w:p>
  <w:p w14:paraId="178BEEAD">
    <w:pPr>
      <w:pStyle w:val="13"/>
    </w:pPr>
  </w:p>
  <w:p w14:paraId="6A6D412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2971101"/>
    <w:multiLevelType w:val="multilevel"/>
    <w:tmpl w:val="0297110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BD771D1"/>
    <w:multiLevelType w:val="multilevel"/>
    <w:tmpl w:val="0BD77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4">
    <w:nsid w:val="11983857"/>
    <w:multiLevelType w:val="multilevel"/>
    <w:tmpl w:val="11983857"/>
    <w:lvl w:ilvl="0" w:tentative="0">
      <w:start w:val="1"/>
      <w:numFmt w:val="decimal"/>
      <w:pStyle w:val="22"/>
      <w:lvlText w:val="%1."/>
      <w:lvlJc w:val="left"/>
      <w:pPr>
        <w:ind w:left="7874" w:hanging="360"/>
      </w:pPr>
      <w:rPr>
        <w:b/>
        <w:color w:val="auto"/>
      </w:rPr>
    </w:lvl>
    <w:lvl w:ilvl="1" w:tentative="0">
      <w:start w:val="1"/>
      <w:numFmt w:val="decimal"/>
      <w:pStyle w:val="24"/>
      <w:lvlText w:val="%1.%2."/>
      <w:lvlJc w:val="left"/>
      <w:pPr>
        <w:ind w:left="574" w:hanging="432"/>
      </w:pPr>
      <w:rPr>
        <w:sz w:val="20"/>
        <w:szCs w:val="20"/>
      </w:rPr>
    </w:lvl>
    <w:lvl w:ilvl="2" w:tentative="0">
      <w:start w:val="1"/>
      <w:numFmt w:val="decimal"/>
      <w:pStyle w:val="28"/>
      <w:lvlText w:val="%1.%2.%3."/>
      <w:lvlJc w:val="left"/>
      <w:pPr>
        <w:ind w:left="1639" w:hanging="504"/>
      </w:pPr>
    </w:lvl>
    <w:lvl w:ilvl="3" w:tentative="0">
      <w:start w:val="1"/>
      <w:numFmt w:val="decimal"/>
      <w:pStyle w:val="31"/>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18244421"/>
    <w:multiLevelType w:val="multilevel"/>
    <w:tmpl w:val="18244421"/>
    <w:lvl w:ilvl="0" w:tentative="0">
      <w:start w:val="1"/>
      <w:numFmt w:val="decimal"/>
      <w:lvlText w:val="%1."/>
      <w:lvlJc w:val="left"/>
      <w:pPr>
        <w:ind w:left="240"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0"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280" w:hanging="600"/>
      </w:pPr>
      <w:rPr>
        <w:rFonts w:hint="default"/>
        <w:lang w:val="pt-PT" w:eastAsia="en-US" w:bidi="ar-SA"/>
      </w:rPr>
    </w:lvl>
    <w:lvl w:ilvl="3" w:tentative="0">
      <w:start w:val="0"/>
      <w:numFmt w:val="bullet"/>
      <w:lvlText w:val="•"/>
      <w:lvlJc w:val="left"/>
      <w:pPr>
        <w:ind w:left="2325" w:hanging="600"/>
      </w:pPr>
      <w:rPr>
        <w:rFonts w:hint="default"/>
        <w:lang w:val="pt-PT" w:eastAsia="en-US" w:bidi="ar-SA"/>
      </w:rPr>
    </w:lvl>
    <w:lvl w:ilvl="4" w:tentative="0">
      <w:start w:val="0"/>
      <w:numFmt w:val="bullet"/>
      <w:lvlText w:val="•"/>
      <w:lvlJc w:val="left"/>
      <w:pPr>
        <w:ind w:left="3371" w:hanging="600"/>
      </w:pPr>
      <w:rPr>
        <w:rFonts w:hint="default"/>
        <w:lang w:val="pt-PT" w:eastAsia="en-US" w:bidi="ar-SA"/>
      </w:rPr>
    </w:lvl>
    <w:lvl w:ilvl="5" w:tentative="0">
      <w:start w:val="0"/>
      <w:numFmt w:val="bullet"/>
      <w:lvlText w:val="•"/>
      <w:lvlJc w:val="left"/>
      <w:pPr>
        <w:ind w:left="4416" w:hanging="600"/>
      </w:pPr>
      <w:rPr>
        <w:rFonts w:hint="default"/>
        <w:lang w:val="pt-PT" w:eastAsia="en-US" w:bidi="ar-SA"/>
      </w:rPr>
    </w:lvl>
    <w:lvl w:ilvl="6" w:tentative="0">
      <w:start w:val="0"/>
      <w:numFmt w:val="bullet"/>
      <w:lvlText w:val="•"/>
      <w:lvlJc w:val="left"/>
      <w:pPr>
        <w:ind w:left="5461" w:hanging="600"/>
      </w:pPr>
      <w:rPr>
        <w:rFonts w:hint="default"/>
        <w:lang w:val="pt-PT" w:eastAsia="en-US" w:bidi="ar-SA"/>
      </w:rPr>
    </w:lvl>
    <w:lvl w:ilvl="7" w:tentative="0">
      <w:start w:val="0"/>
      <w:numFmt w:val="bullet"/>
      <w:lvlText w:val="•"/>
      <w:lvlJc w:val="left"/>
      <w:pPr>
        <w:ind w:left="6507" w:hanging="600"/>
      </w:pPr>
      <w:rPr>
        <w:rFonts w:hint="default"/>
        <w:lang w:val="pt-PT" w:eastAsia="en-US" w:bidi="ar-SA"/>
      </w:rPr>
    </w:lvl>
    <w:lvl w:ilvl="8" w:tentative="0">
      <w:start w:val="0"/>
      <w:numFmt w:val="bullet"/>
      <w:lvlText w:val="•"/>
      <w:lvlJc w:val="left"/>
      <w:pPr>
        <w:ind w:left="7552" w:hanging="600"/>
      </w:pPr>
      <w:rPr>
        <w:rFonts w:hint="default"/>
        <w:lang w:val="pt-PT" w:eastAsia="en-US" w:bidi="ar-SA"/>
      </w:rPr>
    </w:lvl>
  </w:abstractNum>
  <w:abstractNum w:abstractNumId="6">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7">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8">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2">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3">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4">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5">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6">
    <w:nsid w:val="70567220"/>
    <w:multiLevelType w:val="multilevel"/>
    <w:tmpl w:val="7056722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8">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4"/>
  </w:num>
  <w:num w:numId="2">
    <w:abstractNumId w:val="0"/>
  </w:num>
  <w:num w:numId="3">
    <w:abstractNumId w:val="11"/>
  </w:num>
  <w:num w:numId="4">
    <w:abstractNumId w:val="17"/>
  </w:num>
  <w:num w:numId="5">
    <w:abstractNumId w:val="13"/>
  </w:num>
  <w:num w:numId="6">
    <w:abstractNumId w:val="3"/>
  </w:num>
  <w:num w:numId="7">
    <w:abstractNumId w:val="15"/>
  </w:num>
  <w:num w:numId="8">
    <w:abstractNumId w:val="7"/>
  </w:num>
  <w:num w:numId="9">
    <w:abstractNumId w:val="12"/>
  </w:num>
  <w:num w:numId="10">
    <w:abstractNumId w:val="6"/>
  </w:num>
  <w:num w:numId="11">
    <w:abstractNumId w:val="8"/>
  </w:num>
  <w:num w:numId="12">
    <w:abstractNumId w:val="1"/>
  </w:num>
  <w:num w:numId="13">
    <w:abstractNumId w:val="14"/>
  </w:num>
  <w:num w:numId="14">
    <w:abstractNumId w:val="5"/>
  </w:num>
  <w:num w:numId="15">
    <w:abstractNumId w:val="16"/>
  </w:num>
  <w:num w:numId="16">
    <w:abstractNumId w:val="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10"/>
    <w:lvlOverride w:ilvl="0">
      <w:startOverride w:val="1"/>
    </w:lvlOverride>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A503F9B"/>
    <w:rsid w:val="29FD7C29"/>
    <w:rsid w:val="3A6971ED"/>
    <w:rsid w:val="3DE22DCC"/>
    <w:rsid w:val="411B65F8"/>
    <w:rsid w:val="449061DF"/>
    <w:rsid w:val="470F782A"/>
    <w:rsid w:val="513A2532"/>
    <w:rsid w:val="65D9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4"/>
    <w:basedOn w:val="1"/>
    <w:next w:val="1"/>
    <w:unhideWhenUsed/>
    <w:qFormat/>
    <w:uiPriority w:val="9"/>
    <w:pPr>
      <w:keepNext/>
      <w:keepLines/>
      <w:suppressAutoHyphens w:val="0"/>
      <w:spacing w:before="80" w:after="40" w:line="259" w:lineRule="auto"/>
      <w:outlineLvl w:val="3"/>
    </w:pPr>
    <w:rPr>
      <w:rFonts w:asciiTheme="minorHAnsi" w:hAnsiTheme="minorHAnsi" w:eastAsiaTheme="majorEastAsia" w:cstheme="majorBidi"/>
      <w:i/>
      <w:iCs/>
      <w:color w:val="376092" w:themeColor="accent1" w:themeShade="BF"/>
      <w:kern w:val="2"/>
      <w:sz w:val="22"/>
      <w:szCs w:val="22"/>
      <w:lang w:eastAsia="en-US"/>
      <w14:ligatures w14:val="standardContextual"/>
    </w:rPr>
  </w:style>
  <w:style w:type="paragraph" w:styleId="5">
    <w:name w:val="heading 5"/>
    <w:basedOn w:val="1"/>
    <w:next w:val="1"/>
    <w:link w:val="21"/>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Hyperlink"/>
    <w:basedOn w:val="6"/>
    <w:semiHidden/>
    <w:unhideWhenUsed/>
    <w:qFormat/>
    <w:uiPriority w:val="99"/>
    <w:rPr>
      <w:color w:val="0000FF"/>
      <w:u w:val="single"/>
    </w:rPr>
  </w:style>
  <w:style w:type="paragraph" w:styleId="10">
    <w:name w:val="Body Text"/>
    <w:basedOn w:val="1"/>
    <w:qFormat/>
    <w:uiPriority w:val="1"/>
    <w:pPr>
      <w:ind w:left="285"/>
      <w:jc w:val="both"/>
    </w:pPr>
    <w:rPr>
      <w:sz w:val="20"/>
      <w:szCs w:val="20"/>
    </w:rPr>
  </w:style>
  <w:style w:type="paragraph" w:styleId="11">
    <w:name w:val="Title"/>
    <w:basedOn w:val="1"/>
    <w:qFormat/>
    <w:uiPriority w:val="10"/>
    <w:pPr>
      <w:spacing w:before="264"/>
      <w:ind w:left="4241" w:hanging="3925"/>
    </w:pPr>
    <w:rPr>
      <w:b/>
      <w:bCs/>
      <w:sz w:val="24"/>
      <w:szCs w:val="24"/>
    </w:rPr>
  </w:style>
  <w:style w:type="paragraph" w:styleId="12">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3">
    <w:name w:val="header"/>
    <w:basedOn w:val="1"/>
    <w:link w:val="19"/>
    <w:unhideWhenUsed/>
    <w:qFormat/>
    <w:uiPriority w:val="0"/>
    <w:pPr>
      <w:tabs>
        <w:tab w:val="center" w:pos="4680"/>
        <w:tab w:val="right" w:pos="9360"/>
      </w:tabs>
    </w:pPr>
  </w:style>
  <w:style w:type="paragraph" w:styleId="14">
    <w:name w:val="footer"/>
    <w:basedOn w:val="1"/>
    <w:link w:val="20"/>
    <w:unhideWhenUsed/>
    <w:qFormat/>
    <w:uiPriority w:val="99"/>
    <w:pPr>
      <w:tabs>
        <w:tab w:val="center" w:pos="4680"/>
        <w:tab w:val="right" w:pos="9360"/>
      </w:tabs>
    </w:pPr>
  </w:style>
  <w:style w:type="table" w:styleId="15">
    <w:name w:val="Table Grid"/>
    <w:basedOn w:val="7"/>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34"/>
    <w:pPr>
      <w:ind w:left="285"/>
      <w:jc w:val="both"/>
    </w:pPr>
  </w:style>
  <w:style w:type="paragraph" w:customStyle="1" w:styleId="18">
    <w:name w:val="Table Paragraph"/>
    <w:basedOn w:val="1"/>
    <w:qFormat/>
    <w:uiPriority w:val="1"/>
    <w:pPr>
      <w:spacing w:before="89"/>
      <w:ind w:left="110"/>
    </w:pPr>
    <w:rPr>
      <w:rFonts w:ascii="Calibri" w:hAnsi="Calibri" w:eastAsia="Calibri" w:cs="Calibri"/>
    </w:rPr>
  </w:style>
  <w:style w:type="character" w:customStyle="1" w:styleId="19">
    <w:name w:val="Cabeçalho Char"/>
    <w:basedOn w:val="6"/>
    <w:link w:val="13"/>
    <w:qFormat/>
    <w:uiPriority w:val="0"/>
    <w:rPr>
      <w:rFonts w:ascii="Courier New" w:hAnsi="Courier New" w:eastAsia="Courier New" w:cs="Courier New"/>
      <w:lang w:val="pt-PT"/>
    </w:rPr>
  </w:style>
  <w:style w:type="character" w:customStyle="1" w:styleId="20">
    <w:name w:val="Rodapé Char"/>
    <w:basedOn w:val="6"/>
    <w:link w:val="14"/>
    <w:qFormat/>
    <w:uiPriority w:val="99"/>
    <w:rPr>
      <w:rFonts w:ascii="Courier New" w:hAnsi="Courier New" w:eastAsia="Courier New" w:cs="Courier New"/>
      <w:lang w:val="pt-PT"/>
    </w:rPr>
  </w:style>
  <w:style w:type="character" w:customStyle="1" w:styleId="21">
    <w:name w:val="Título 5 Char"/>
    <w:basedOn w:val="6"/>
    <w:link w:val="5"/>
    <w:semiHidden/>
    <w:qFormat/>
    <w:uiPriority w:val="9"/>
    <w:rPr>
      <w:rFonts w:asciiTheme="majorHAnsi" w:hAnsiTheme="majorHAnsi" w:eastAsiaTheme="majorEastAsia" w:cstheme="majorBidi"/>
      <w:color w:val="254061" w:themeColor="accent1" w:themeShade="80"/>
      <w:lang w:val="pt-PT"/>
    </w:rPr>
  </w:style>
  <w:style w:type="paragraph" w:customStyle="1" w:styleId="22">
    <w:name w:val="Nivel 01"/>
    <w:basedOn w:val="2"/>
    <w:next w:val="1"/>
    <w:link w:val="23"/>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3">
    <w:name w:val="Nivel 01 Char"/>
    <w:link w:val="22"/>
    <w:qFormat/>
    <w:uiPriority w:val="0"/>
    <w:rPr>
      <w:rFonts w:ascii="Arial" w:hAnsi="Arial" w:eastAsia="Times New Roman" w:cs="Arial"/>
      <w:b/>
      <w:bCs/>
      <w:sz w:val="20"/>
      <w:szCs w:val="20"/>
      <w:lang w:val="pt-BR"/>
    </w:rPr>
  </w:style>
  <w:style w:type="paragraph" w:customStyle="1" w:styleId="24">
    <w:name w:val="Nivel 2"/>
    <w:basedOn w:val="1"/>
    <w:link w:val="25"/>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5">
    <w:name w:val="Nivel 2 Char"/>
    <w:link w:val="24"/>
    <w:qFormat/>
    <w:locked/>
    <w:uiPriority w:val="0"/>
    <w:rPr>
      <w:rFonts w:ascii="Arial" w:hAnsi="Arial" w:eastAsia="Times New Roman" w:cs="Arial"/>
      <w:sz w:val="20"/>
      <w:szCs w:val="20"/>
      <w:lang w:val="pt-BR" w:eastAsia="pt-BR"/>
    </w:rPr>
  </w:style>
  <w:style w:type="paragraph" w:customStyle="1" w:styleId="26">
    <w:name w:val="Nível 2 -Red"/>
    <w:basedOn w:val="24"/>
    <w:link w:val="27"/>
    <w:qFormat/>
    <w:uiPriority w:val="0"/>
    <w:rPr>
      <w:i/>
      <w:iCs/>
      <w:color w:val="FF0000"/>
    </w:rPr>
  </w:style>
  <w:style w:type="character" w:customStyle="1" w:styleId="27">
    <w:name w:val="Nível 2 -Red Char"/>
    <w:link w:val="26"/>
    <w:qFormat/>
    <w:uiPriority w:val="0"/>
    <w:rPr>
      <w:rFonts w:ascii="Arial" w:hAnsi="Arial" w:eastAsia="Times New Roman" w:cs="Arial"/>
      <w:i/>
      <w:iCs/>
      <w:color w:val="FF0000"/>
      <w:sz w:val="20"/>
      <w:szCs w:val="20"/>
      <w:lang w:val="pt-BR" w:eastAsia="pt-BR"/>
    </w:rPr>
  </w:style>
  <w:style w:type="paragraph" w:customStyle="1" w:styleId="28">
    <w:name w:val="Nível 3-R"/>
    <w:basedOn w:val="1"/>
    <w:link w:val="29"/>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9">
    <w:name w:val="Nível 3-R Char"/>
    <w:link w:val="28"/>
    <w:qFormat/>
    <w:uiPriority w:val="0"/>
    <w:rPr>
      <w:rFonts w:ascii="Arial" w:hAnsi="Arial" w:eastAsia="Times New Roman" w:cs="Arial"/>
      <w:i/>
      <w:iCs/>
      <w:color w:val="FF0000"/>
      <w:sz w:val="20"/>
      <w:szCs w:val="20"/>
      <w:lang w:val="pt-BR" w:eastAsia="pt-BR"/>
    </w:rPr>
  </w:style>
  <w:style w:type="paragraph" w:customStyle="1" w:styleId="30">
    <w:name w:val="Nível 3"/>
    <w:basedOn w:val="28"/>
    <w:link w:val="32"/>
    <w:qFormat/>
    <w:uiPriority w:val="0"/>
    <w:rPr>
      <w:i w:val="0"/>
      <w:iCs w:val="0"/>
      <w:color w:val="auto"/>
    </w:rPr>
  </w:style>
  <w:style w:type="paragraph" w:customStyle="1" w:styleId="31">
    <w:name w:val="Nível 4"/>
    <w:basedOn w:val="30"/>
    <w:link w:val="34"/>
    <w:qFormat/>
    <w:uiPriority w:val="0"/>
    <w:pPr>
      <w:numPr>
        <w:ilvl w:val="3"/>
      </w:numPr>
      <w:ind w:left="567" w:firstLine="0"/>
    </w:pPr>
  </w:style>
  <w:style w:type="character" w:customStyle="1" w:styleId="32">
    <w:name w:val="Nível 3 Char"/>
    <w:link w:val="30"/>
    <w:qFormat/>
    <w:uiPriority w:val="0"/>
    <w:rPr>
      <w:rFonts w:ascii="Arial" w:hAnsi="Arial" w:eastAsia="Times New Roman" w:cs="Arial"/>
      <w:sz w:val="20"/>
      <w:szCs w:val="20"/>
      <w:lang w:val="pt-BR" w:eastAsia="pt-BR"/>
    </w:rPr>
  </w:style>
  <w:style w:type="paragraph" w:customStyle="1" w:styleId="33">
    <w:name w:val="SubTitNN"/>
    <w:basedOn w:val="1"/>
    <w:link w:val="35"/>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4">
    <w:name w:val="Nível 4 Char"/>
    <w:link w:val="31"/>
    <w:qFormat/>
    <w:uiPriority w:val="0"/>
    <w:rPr>
      <w:rFonts w:ascii="Arial" w:hAnsi="Arial" w:eastAsia="Times New Roman" w:cs="Arial"/>
      <w:sz w:val="20"/>
      <w:szCs w:val="20"/>
      <w:lang w:val="pt-BR" w:eastAsia="pt-BR"/>
    </w:rPr>
  </w:style>
  <w:style w:type="character" w:customStyle="1" w:styleId="35">
    <w:name w:val="SubTitNN Char"/>
    <w:link w:val="33"/>
    <w:qFormat/>
    <w:uiPriority w:val="0"/>
    <w:rPr>
      <w:rFonts w:ascii="Arial" w:hAnsi="Arial" w:eastAsia="Times New Roman" w:cs="Arial"/>
      <w:b/>
      <w:bCs/>
      <w:iCs/>
      <w:sz w:val="20"/>
      <w:szCs w:val="20"/>
      <w:lang w:val="pt-BR" w:eastAsia="pt-BR"/>
    </w:rPr>
  </w:style>
  <w:style w:type="paragraph" w:styleId="36">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7">
    <w:name w:val="Fonte parág. padrão3"/>
    <w:qFormat/>
    <w:uiPriority w:val="0"/>
  </w:style>
  <w:style w:type="paragraph" w:customStyle="1" w:styleId="38">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9">
    <w:name w:val="Nivel 3"/>
    <w:basedOn w:val="40"/>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40">
    <w:name w:val="Parágrafo da Lista1"/>
    <w:basedOn w:val="1"/>
    <w:qFormat/>
    <w:uiPriority w:val="0"/>
    <w:pPr>
      <w:suppressAutoHyphens/>
      <w:ind w:left="720"/>
    </w:pPr>
    <w:rPr>
      <w:kern w:val="2"/>
      <w:sz w:val="24"/>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10872</Words>
  <Characters>58712</Characters>
  <Lines>489</Lines>
  <Paragraphs>138</Paragraphs>
  <TotalTime>2</TotalTime>
  <ScaleCrop>false</ScaleCrop>
  <LinksUpToDate>false</LinksUpToDate>
  <CharactersWithSpaces>69446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2025-05-07T18:54:00Z</cp:lastPrinted>
  <dcterms:modified xsi:type="dcterms:W3CDTF">2025-05-15T13:00:13Z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1046-12.2.0.21179</vt:lpwstr>
  </property>
  <property fmtid="{D5CDD505-2E9C-101B-9397-08002B2CF9AE}" pid="7" name="ICV">
    <vt:lpwstr>9D1892BDEAE24229B474EF9277984427_13</vt:lpwstr>
  </property>
</Properties>
</file>