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60</w:t>
      </w:r>
      <w:r>
        <w:rPr>
          <w:b/>
          <w:spacing w:val="-2"/>
          <w:w w:val="115"/>
        </w:rPr>
        <w:t>/2025 PROCESSO ADM Nº1</w:t>
      </w:r>
      <w:r>
        <w:rPr>
          <w:rFonts w:hint="default"/>
          <w:b/>
          <w:spacing w:val="-2"/>
          <w:w w:val="115"/>
          <w:lang w:val="pt-BR"/>
        </w:rPr>
        <w:t>58</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15</w:t>
      </w:r>
      <w:r>
        <w:rPr>
          <w:b/>
          <w:bCs/>
          <w:w w:val="115"/>
        </w:rPr>
        <w:t>/</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23</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23</w:t>
      </w:r>
      <w:r>
        <w:rPr>
          <w:b/>
          <w:bCs/>
          <w:w w:val="110"/>
        </w:rPr>
        <w:t>/</w:t>
      </w:r>
      <w:r>
        <w:rPr>
          <w:b/>
          <w:bCs/>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55CE5D5C">
      <w:pPr>
        <w:ind w:left="492"/>
        <w:rPr>
          <w:w w:val="110"/>
        </w:rPr>
      </w:pPr>
      <w:r>
        <w:rPr>
          <w:w w:val="110"/>
        </w:rPr>
        <w:t>02 16 - SECRETARIA MUNICIPAL DE SAUDE</w:t>
      </w:r>
    </w:p>
    <w:p w14:paraId="403105DA">
      <w:pPr>
        <w:ind w:left="492"/>
        <w:rPr>
          <w:w w:val="110"/>
        </w:rPr>
      </w:pPr>
      <w:r>
        <w:rPr>
          <w:w w:val="110"/>
        </w:rPr>
        <w:t>021601 – FUNDO MUNICIPAL DE SAUDE</w:t>
      </w:r>
    </w:p>
    <w:p w14:paraId="1F35C288">
      <w:pPr>
        <w:ind w:left="492"/>
        <w:rPr>
          <w:w w:val="110"/>
        </w:rPr>
      </w:pPr>
    </w:p>
    <w:p w14:paraId="6502504B">
      <w:pPr>
        <w:ind w:left="492"/>
        <w:rPr>
          <w:w w:val="110"/>
        </w:rPr>
      </w:pPr>
      <w:r>
        <w:rPr>
          <w:w w:val="110"/>
        </w:rPr>
        <w:t xml:space="preserve">FICHA 266 </w:t>
      </w:r>
    </w:p>
    <w:p w14:paraId="0963F24D">
      <w:pPr>
        <w:ind w:left="492"/>
        <w:rPr>
          <w:w w:val="110"/>
        </w:rPr>
      </w:pPr>
      <w:r>
        <w:rPr>
          <w:w w:val="110"/>
        </w:rPr>
        <w:t xml:space="preserve">10.301.0034.2015.00004.4.90.52.00 </w:t>
      </w:r>
    </w:p>
    <w:p w14:paraId="371838AF">
      <w:pPr>
        <w:ind w:left="492"/>
        <w:rPr>
          <w:w w:val="110"/>
        </w:rPr>
      </w:pPr>
      <w:r>
        <w:rPr>
          <w:w w:val="110"/>
        </w:rPr>
        <w:t>EQUIPAMENTOS E MATERIAL PERMANENTE</w:t>
      </w:r>
    </w:p>
    <w:p w14:paraId="5C766CAF">
      <w:pPr>
        <w:ind w:left="492"/>
        <w:rPr>
          <w:w w:val="110"/>
        </w:rPr>
      </w:pPr>
    </w:p>
    <w:p w14:paraId="25C832CE">
      <w:pPr>
        <w:ind w:left="492"/>
        <w:rPr>
          <w:w w:val="110"/>
        </w:rPr>
      </w:pPr>
      <w:r>
        <w:rPr>
          <w:w w:val="110"/>
        </w:rPr>
        <w:t>FICHA 308</w:t>
      </w:r>
    </w:p>
    <w:p w14:paraId="7E4076FF">
      <w:pPr>
        <w:ind w:left="492"/>
        <w:rPr>
          <w:w w:val="110"/>
        </w:rPr>
      </w:pPr>
      <w:r>
        <w:rPr>
          <w:w w:val="110"/>
        </w:rPr>
        <w:t xml:space="preserve">10.305.0034.2038.00004.4.90.52.00 </w:t>
      </w:r>
    </w:p>
    <w:p w14:paraId="6F41BDE5">
      <w:pPr>
        <w:ind w:left="492"/>
        <w:rPr>
          <w:w w:val="110"/>
        </w:rPr>
      </w:pPr>
      <w:r>
        <w:rPr>
          <w:w w:val="110"/>
        </w:rPr>
        <w:t>EQUIPAMENTOS E MATERIAL PERMANENTE</w:t>
      </w:r>
    </w:p>
    <w:p w14:paraId="06867E8A">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rFonts w:ascii="Arial" w:hAnsi="Arial" w:cs="Arial"/>
          <w:b/>
          <w:bCs/>
          <w:sz w:val="20"/>
          <w:szCs w:val="20"/>
        </w:rPr>
        <w:t xml:space="preserve"> </w:t>
      </w:r>
      <w:r>
        <w:rPr>
          <w:rFonts w:hint="default"/>
          <w:w w:val="110"/>
          <w:lang w:val="pt-BR"/>
        </w:rPr>
        <w:t>REFERENTE A AQUISIÇÃO DE UM TERMONEBULIZADOR PARA O SETOR DE VIGILÂNCIA SANITÁRIA</w:t>
      </w:r>
      <w:r>
        <w:rPr>
          <w:w w:val="110"/>
        </w:rPr>
        <w:t xml:space="preserve"> 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14</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lang w:val="pt-BR"/>
        </w:rPr>
        <w:t>REFERENTE A AQUISIÇÃO DE UM TERMONEBULIZADOR PARA O SETOR DE VIGILÂNCIA SANITÁRIA</w:t>
      </w:r>
    </w:p>
    <w:p w14:paraId="081E1CB9">
      <w:pPr>
        <w:pStyle w:val="17"/>
        <w:jc w:val="both"/>
        <w:rPr>
          <w:rFonts w:ascii="Arial Narrow" w:hAnsi="Arial Narrow" w:cstheme="minorHAnsi"/>
          <w:b/>
          <w:bCs/>
          <w:sz w:val="20"/>
          <w:szCs w:val="20"/>
        </w:rPr>
      </w:pPr>
    </w:p>
    <w:tbl>
      <w:tblPr>
        <w:tblStyle w:val="11"/>
        <w:tblW w:w="10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0"/>
      </w:tblGrid>
      <w:tr w14:paraId="4AD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0760" w:type="dxa"/>
            <w:vAlign w:val="center"/>
          </w:tcPr>
          <w:p w14:paraId="0CF7CD52">
            <w:pPr>
              <w:pStyle w:val="17"/>
              <w:jc w:val="center"/>
              <w:rPr>
                <w:rFonts w:ascii="Arial Narrow" w:hAnsi="Arial Narrow" w:cstheme="minorHAnsi"/>
                <w:b/>
                <w:bCs/>
                <w:sz w:val="18"/>
                <w:szCs w:val="18"/>
              </w:rPr>
            </w:pPr>
            <w:r>
              <w:rPr>
                <w:rFonts w:ascii="Arial Narrow" w:hAnsi="Arial Narrow" w:cstheme="minorHAnsi"/>
                <w:b/>
                <w:bCs/>
                <w:sz w:val="18"/>
                <w:szCs w:val="18"/>
              </w:rPr>
              <w:t>DESCRIÇÃO</w:t>
            </w:r>
          </w:p>
        </w:tc>
      </w:tr>
      <w:tr w14:paraId="0C69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10760" w:type="dxa"/>
          </w:tcPr>
          <w:p w14:paraId="669C84FA">
            <w:pPr>
              <w:pStyle w:val="17"/>
              <w:ind w:left="-102"/>
              <w:jc w:val="both"/>
              <w:rPr>
                <w:rFonts w:ascii="Arial Narrow" w:hAnsi="Arial Narrow" w:cstheme="minorHAnsi"/>
                <w:sz w:val="18"/>
                <w:szCs w:val="18"/>
              </w:rPr>
            </w:pPr>
            <w:r>
              <w:rPr>
                <w:rFonts w:hint="default" w:ascii="Times New Roman" w:hAnsi="Times New Roman" w:cs="Times New Roman"/>
                <w:color w:val="000000"/>
                <w:sz w:val="22"/>
                <w:szCs w:val="22"/>
                <w:lang w:eastAsia="pt-BR"/>
              </w:rPr>
              <w:t>Termonebulizador portátil, motor pulso jato de alto desempenho, a gasolina, potência aparente de 24 cv (17,5 kw). Sistema de partida através de acionamento de botão de partida, sem necessidade de pressurização manual prévia, ignição eletrônica 12v com bat - Termonebulizador portátil, motor pulso jato de alto desempenho, a gasolina, potência aparente de 24 cv (17,5 kw). Sistema de partida através de acionamento de botão de partida, sem necessidade de pressurização manual prévia, ignição eletrônica 12v com bateria selada e carregador inteligente bi volt, com 4 funções simultâneas. Câmara de combustão em aço inox refratário, volume entre 250 e 300 cm. Sistema de nebulização. Consumo de combustível de 1,5 a 2,0 litros por hora. Chassis em chapa de aço carbono, tratado com pintura a pó (eletrostática). Tanques em polietileno transparente, de formulação: 8 a 10l e combustível: 1,8 a 2 l. Desempenho com fog normal: vazão máxima de 30 litros por hora, para fog seco (óleo mineral). Espectro de gotas entre 1 e 25 um dmv. Peso vazio aproximado: 10,0 kg. Acessórios: alça de transporte, jogo de bicos dosadores, kit para limpeza e abastecimento, manual e/ou boletim técnico em português onde consiste especificação completa e instruções para utilização do equipamento</w:t>
            </w:r>
          </w:p>
        </w:tc>
      </w:tr>
    </w:tbl>
    <w:p w14:paraId="1668FE20">
      <w:pPr>
        <w:pStyle w:val="2"/>
        <w:ind w:left="299" w:right="20"/>
        <w:jc w:val="center"/>
        <w:rPr>
          <w:w w:val="115"/>
        </w:rPr>
      </w:pPr>
    </w:p>
    <w:p w14:paraId="11350CDF">
      <w:pPr>
        <w:pStyle w:val="2"/>
        <w:ind w:left="299" w:right="20"/>
        <w:jc w:val="center"/>
        <w:rPr>
          <w:w w:val="115"/>
        </w:rPr>
      </w:pPr>
    </w:p>
    <w:p w14:paraId="175763C0">
      <w:pPr>
        <w:pStyle w:val="2"/>
        <w:ind w:left="299" w:right="20"/>
        <w:jc w:val="center"/>
        <w:rPr>
          <w:w w:val="115"/>
        </w:rPr>
      </w:pPr>
    </w:p>
    <w:p w14:paraId="3DC9B828">
      <w:pPr>
        <w:pStyle w:val="2"/>
        <w:ind w:left="299" w:right="20"/>
        <w:jc w:val="center"/>
        <w:rPr>
          <w:w w:val="115"/>
        </w:rPr>
      </w:pPr>
    </w:p>
    <w:p w14:paraId="7758D866">
      <w:pPr>
        <w:pStyle w:val="2"/>
        <w:ind w:left="299" w:right="20"/>
        <w:jc w:val="center"/>
        <w:rPr>
          <w:w w:val="115"/>
        </w:rPr>
      </w:pPr>
    </w:p>
    <w:p w14:paraId="58BA83D2">
      <w:pPr>
        <w:pStyle w:val="2"/>
        <w:ind w:left="299" w:right="20"/>
        <w:jc w:val="center"/>
        <w:rPr>
          <w:w w:val="115"/>
        </w:rPr>
      </w:pPr>
    </w:p>
    <w:p w14:paraId="737A595B">
      <w:pPr>
        <w:pStyle w:val="2"/>
        <w:ind w:left="299" w:right="20"/>
        <w:jc w:val="center"/>
        <w:rPr>
          <w:w w:val="115"/>
        </w:rPr>
      </w:pPr>
    </w:p>
    <w:p w14:paraId="23C52A40">
      <w:pPr>
        <w:pStyle w:val="2"/>
        <w:ind w:left="299" w:right="20"/>
        <w:jc w:val="center"/>
        <w:rPr>
          <w:w w:val="115"/>
        </w:rPr>
      </w:pPr>
    </w:p>
    <w:p w14:paraId="2F104ADF">
      <w:pPr>
        <w:pStyle w:val="2"/>
        <w:ind w:left="299" w:right="20"/>
        <w:jc w:val="center"/>
        <w:rPr>
          <w:w w:val="115"/>
        </w:rPr>
      </w:pPr>
    </w:p>
    <w:p w14:paraId="4F8888D4">
      <w:pPr>
        <w:pStyle w:val="2"/>
        <w:ind w:left="299" w:right="20"/>
        <w:jc w:val="center"/>
        <w:rPr>
          <w:w w:val="115"/>
        </w:rPr>
      </w:pPr>
    </w:p>
    <w:p w14:paraId="74C34B8B">
      <w:pPr>
        <w:pStyle w:val="2"/>
        <w:ind w:left="299" w:right="20"/>
        <w:jc w:val="center"/>
        <w:rPr>
          <w:w w:val="115"/>
        </w:rPr>
      </w:pPr>
    </w:p>
    <w:p w14:paraId="64810363">
      <w:pPr>
        <w:pStyle w:val="2"/>
        <w:ind w:left="299" w:right="20"/>
        <w:jc w:val="center"/>
        <w:rPr>
          <w:w w:val="115"/>
        </w:rPr>
      </w:pPr>
    </w:p>
    <w:p w14:paraId="14A0A744">
      <w:pPr>
        <w:pStyle w:val="2"/>
        <w:ind w:left="299" w:right="20"/>
        <w:jc w:val="center"/>
        <w:rPr>
          <w:w w:val="115"/>
        </w:rPr>
      </w:pPr>
    </w:p>
    <w:p w14:paraId="57927509">
      <w:pPr>
        <w:pStyle w:val="2"/>
        <w:ind w:left="299" w:right="20"/>
        <w:jc w:val="center"/>
        <w:rPr>
          <w:w w:val="115"/>
        </w:rPr>
      </w:pPr>
    </w:p>
    <w:p w14:paraId="382228FA">
      <w:pPr>
        <w:pStyle w:val="2"/>
        <w:ind w:left="299" w:right="20"/>
        <w:jc w:val="center"/>
        <w:rPr>
          <w:w w:val="115"/>
        </w:rPr>
      </w:pPr>
    </w:p>
    <w:p w14:paraId="713902DB">
      <w:pPr>
        <w:pStyle w:val="2"/>
        <w:ind w:left="299" w:right="20"/>
        <w:jc w:val="center"/>
        <w:rPr>
          <w:w w:val="115"/>
        </w:rPr>
      </w:pPr>
    </w:p>
    <w:p w14:paraId="07FC10A4">
      <w:pPr>
        <w:pStyle w:val="2"/>
        <w:ind w:left="299" w:right="20"/>
        <w:jc w:val="center"/>
        <w:rPr>
          <w:w w:val="115"/>
        </w:rPr>
      </w:pPr>
    </w:p>
    <w:p w14:paraId="19419D06">
      <w:pPr>
        <w:pStyle w:val="2"/>
        <w:ind w:left="299" w:right="20"/>
        <w:jc w:val="center"/>
        <w:rPr>
          <w:w w:val="115"/>
        </w:rPr>
      </w:pPr>
    </w:p>
    <w:p w14:paraId="48DD10C6">
      <w:pPr>
        <w:pStyle w:val="2"/>
        <w:ind w:left="299" w:right="20"/>
        <w:jc w:val="center"/>
        <w:rPr>
          <w:w w:val="115"/>
        </w:rPr>
      </w:pPr>
    </w:p>
    <w:p w14:paraId="60C6A50A">
      <w:pPr>
        <w:pStyle w:val="2"/>
        <w:ind w:left="299" w:right="20"/>
        <w:jc w:val="center"/>
        <w:rPr>
          <w:w w:val="115"/>
        </w:rPr>
      </w:pPr>
    </w:p>
    <w:p w14:paraId="002F3B14">
      <w:pPr>
        <w:pStyle w:val="2"/>
        <w:ind w:left="299" w:right="20"/>
        <w:jc w:val="center"/>
        <w:rPr>
          <w:w w:val="115"/>
        </w:rPr>
      </w:pPr>
    </w:p>
    <w:p w14:paraId="7253D1A0">
      <w:pPr>
        <w:pStyle w:val="2"/>
        <w:ind w:left="299" w:right="20"/>
        <w:jc w:val="center"/>
        <w:rPr>
          <w:w w:val="115"/>
        </w:rPr>
      </w:pPr>
    </w:p>
    <w:p w14:paraId="72E1A24B">
      <w:pPr>
        <w:pStyle w:val="2"/>
        <w:ind w:left="299" w:right="20"/>
        <w:jc w:val="center"/>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numPr>
          <w:ilvl w:val="0"/>
          <w:numId w:val="9"/>
        </w:numPr>
        <w:ind w:left="1200" w:leftChars="0" w:hanging="708" w:firstLineChars="0"/>
        <w:jc w:val="both"/>
      </w:pPr>
      <w:r>
        <w:rPr>
          <w:rFonts w:hint="default"/>
          <w:b/>
          <w:bCs/>
          <w:lang w:val="pt-BR"/>
        </w:rPr>
        <w:t xml:space="preserve">CATALOGO DE ESPECIFICAÇÕES DO PRODUTO </w:t>
      </w: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bookmarkStart w:id="11" w:name="_GoBack"/>
      <w:bookmarkEnd w:id="11"/>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6207DD3D">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490E646C">
      <w:pPr>
        <w:spacing w:line="360" w:lineRule="auto"/>
        <w:ind w:left="-567" w:right="-708" w:firstLine="709"/>
        <w:jc w:val="center"/>
        <w:rPr>
          <w:rFonts w:ascii="Arial" w:hAnsi="Arial" w:cs="Arial"/>
          <w:b/>
          <w:bCs/>
          <w:sz w:val="24"/>
          <w:szCs w:val="24"/>
        </w:rPr>
      </w:pPr>
    </w:p>
    <w:p w14:paraId="353FFE0C">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1DFFC16C">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4BE56781">
      <w:pPr>
        <w:spacing w:line="360" w:lineRule="auto"/>
        <w:ind w:left="-567" w:right="-708" w:firstLine="709"/>
        <w:jc w:val="center"/>
        <w:rPr>
          <w:rFonts w:ascii="Arial" w:hAnsi="Arial" w:cs="Arial"/>
          <w:sz w:val="24"/>
          <w:szCs w:val="24"/>
        </w:rPr>
      </w:pPr>
    </w:p>
    <w:p w14:paraId="11E90EC2">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461916B1">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186FF9F4">
      <w:pPr>
        <w:spacing w:line="360" w:lineRule="auto"/>
        <w:ind w:left="-567" w:right="-708" w:firstLine="709"/>
        <w:jc w:val="center"/>
        <w:rPr>
          <w:rFonts w:ascii="Arial" w:hAnsi="Arial" w:cs="Arial"/>
          <w:sz w:val="24"/>
          <w:szCs w:val="24"/>
        </w:rPr>
      </w:pPr>
    </w:p>
    <w:p w14:paraId="6EAF78A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02E6413D">
      <w:pPr>
        <w:spacing w:line="360" w:lineRule="auto"/>
        <w:ind w:left="-567" w:right="-708" w:firstLine="709"/>
        <w:jc w:val="both"/>
        <w:rPr>
          <w:rFonts w:ascii="Arial" w:hAnsi="Arial" w:eastAsia="Arial-BoldMT" w:cs="Arial"/>
          <w:b/>
          <w:bCs/>
          <w:sz w:val="24"/>
          <w:szCs w:val="24"/>
        </w:rPr>
      </w:pPr>
    </w:p>
    <w:p w14:paraId="74D9F387">
      <w:pPr>
        <w:spacing w:line="360" w:lineRule="auto"/>
        <w:ind w:left="-567" w:right="-708" w:firstLine="709"/>
        <w:jc w:val="both"/>
        <w:rPr>
          <w:rFonts w:ascii="Arial" w:hAnsi="Arial" w:cs="Arial"/>
          <w:sz w:val="24"/>
          <w:szCs w:val="24"/>
        </w:rPr>
      </w:pPr>
      <w:r>
        <w:rPr>
          <w:rFonts w:ascii="Arial" w:hAnsi="Arial" w:cs="Arial"/>
          <w:sz w:val="24"/>
          <w:szCs w:val="24"/>
        </w:rPr>
        <w:t>O objeto desta contratação consiste na aquisição de 1 (um) termonebulizador para o Setor de Vigilância Sanitária do município de Rifaina, destinado ao controle de vetores, em especial o Aedes aegypti, transmissor da dengue. O equipamento deverá atender às especificações técnicas necessárias para garantir eficiência na aplicação de inseticidas em áreas urbanas e rurais, contribuindo para a redução de surtos da doença. O prazo do contrato será imediatamente encerrado após a entrega e recebimento do equipamento, não havendo necessidade de prorrogação.</w:t>
      </w:r>
    </w:p>
    <w:p w14:paraId="4F83BCC1">
      <w:pPr>
        <w:spacing w:line="360" w:lineRule="auto"/>
        <w:ind w:left="-567" w:right="-708" w:firstLine="709"/>
        <w:jc w:val="both"/>
        <w:rPr>
          <w:rFonts w:ascii="Arial" w:hAnsi="Arial" w:cs="Arial"/>
          <w:sz w:val="24"/>
          <w:szCs w:val="24"/>
        </w:rPr>
      </w:pPr>
      <w:r>
        <w:rPr>
          <w:rFonts w:ascii="Arial" w:hAnsi="Arial" w:cs="Arial"/>
          <w:sz w:val="24"/>
          <w:szCs w:val="24"/>
        </w:rPr>
        <w:t>Trata-se de uma compra esporádica, uma vez que a aquisição do termonebulizador visa atender uma demanda pontual e emergencial, sem previsão de renovação ou manutenção contratual posterior. Após a chegada do equipamento e sua devida fiscalização, o contrato será finalizado, assegurando que o município esteja equipado para ações de combate à dengue de forma mais eficaz.</w:t>
      </w:r>
    </w:p>
    <w:p w14:paraId="1D769700">
      <w:pPr>
        <w:spacing w:line="360" w:lineRule="auto"/>
        <w:ind w:right="-708"/>
        <w:jc w:val="both"/>
        <w:rPr>
          <w:rFonts w:ascii="Arial" w:hAnsi="Arial" w:cs="Arial"/>
          <w:sz w:val="24"/>
          <w:szCs w:val="24"/>
        </w:rPr>
      </w:pPr>
    </w:p>
    <w:p w14:paraId="1E84829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738C48C3">
      <w:pPr>
        <w:spacing w:line="360" w:lineRule="auto"/>
        <w:ind w:left="-567" w:right="-708" w:firstLine="709"/>
        <w:jc w:val="both"/>
        <w:rPr>
          <w:rFonts w:ascii="Arial" w:hAnsi="Arial" w:eastAsia="Arial-BoldMT" w:cs="Arial"/>
          <w:b/>
          <w:bCs/>
          <w:sz w:val="24"/>
          <w:szCs w:val="24"/>
        </w:rPr>
      </w:pPr>
    </w:p>
    <w:p w14:paraId="769D67C2">
      <w:pPr>
        <w:spacing w:line="360" w:lineRule="auto"/>
        <w:ind w:left="-567" w:right="-708" w:firstLine="709"/>
        <w:jc w:val="both"/>
        <w:rPr>
          <w:rFonts w:ascii="Arial" w:hAnsi="Arial" w:cs="Arial"/>
          <w:sz w:val="24"/>
          <w:szCs w:val="24"/>
        </w:rPr>
      </w:pPr>
      <w:r>
        <w:rPr>
          <w:rFonts w:ascii="Arial" w:hAnsi="Arial" w:cs="Arial"/>
          <w:sz w:val="24"/>
          <w:szCs w:val="24"/>
        </w:rPr>
        <w:t>A contratação de um termonebulizador para o Setor de Vigilância Sanitária de Rifaina está fundamentada em </w:t>
      </w:r>
      <w:r>
        <w:rPr>
          <w:rFonts w:ascii="Arial" w:hAnsi="Arial" w:cs="Arial"/>
          <w:b/>
          <w:bCs/>
          <w:sz w:val="24"/>
          <w:szCs w:val="24"/>
        </w:rPr>
        <w:t>estudos técnicos preliminares</w:t>
      </w:r>
      <w:r>
        <w:rPr>
          <w:rFonts w:ascii="Arial" w:hAnsi="Arial" w:cs="Arial"/>
          <w:sz w:val="24"/>
          <w:szCs w:val="24"/>
        </w:rPr>
        <w:t> que identificaram a necessidade de modernização e ampliação das estratégias de controle do </w:t>
      </w:r>
      <w:r>
        <w:rPr>
          <w:rFonts w:ascii="Arial" w:hAnsi="Arial" w:cs="Arial"/>
          <w:i/>
          <w:iCs/>
          <w:sz w:val="24"/>
          <w:szCs w:val="24"/>
        </w:rPr>
        <w:t>Aedes aegypti</w:t>
      </w:r>
      <w:r>
        <w:rPr>
          <w:rFonts w:ascii="Arial" w:hAnsi="Arial" w:cs="Arial"/>
          <w:sz w:val="24"/>
          <w:szCs w:val="24"/>
        </w:rPr>
        <w:t>. Dados epidemiológicos municipais demonstram a </w:t>
      </w:r>
      <w:r>
        <w:rPr>
          <w:rFonts w:ascii="Arial" w:hAnsi="Arial" w:cs="Arial"/>
          <w:b/>
          <w:bCs/>
          <w:sz w:val="24"/>
          <w:szCs w:val="24"/>
        </w:rPr>
        <w:t>recorrência de surtos de dengue</w:t>
      </w:r>
      <w:r>
        <w:rPr>
          <w:rFonts w:ascii="Arial" w:hAnsi="Arial" w:cs="Arial"/>
          <w:sz w:val="24"/>
          <w:szCs w:val="24"/>
        </w:rPr>
        <w:t>, exigindo ações mais eficientes de nebulização para reduzir a infestação do vetor. Relatórios da Vigilância em Saúde apontam que a </w:t>
      </w:r>
      <w:r>
        <w:rPr>
          <w:rFonts w:ascii="Arial" w:hAnsi="Arial" w:cs="Arial"/>
          <w:b/>
          <w:bCs/>
          <w:sz w:val="24"/>
          <w:szCs w:val="24"/>
        </w:rPr>
        <w:t>falta de equipamentos adequados</w:t>
      </w:r>
      <w:r>
        <w:rPr>
          <w:rFonts w:ascii="Arial" w:hAnsi="Arial" w:cs="Arial"/>
          <w:sz w:val="24"/>
          <w:szCs w:val="24"/>
        </w:rPr>
        <w:t> limita a cobertura e a efetividade das ações de bloqueio, aumentando o risco de transmissão da doença.</w:t>
      </w:r>
    </w:p>
    <w:p w14:paraId="6219FF2A">
      <w:pPr>
        <w:spacing w:line="360" w:lineRule="auto"/>
        <w:ind w:left="-567" w:right="-708" w:firstLine="709"/>
        <w:jc w:val="both"/>
        <w:rPr>
          <w:rFonts w:ascii="Arial" w:hAnsi="Arial" w:cs="Arial"/>
          <w:sz w:val="24"/>
          <w:szCs w:val="24"/>
        </w:rPr>
      </w:pPr>
      <w:r>
        <w:rPr>
          <w:rFonts w:ascii="Arial" w:hAnsi="Arial" w:cs="Arial"/>
          <w:sz w:val="24"/>
          <w:szCs w:val="24"/>
        </w:rPr>
        <w:t>Além disso, a Secretaria Municipal de Saúde realizou </w:t>
      </w:r>
      <w:r>
        <w:rPr>
          <w:rFonts w:ascii="Arial" w:hAnsi="Arial" w:cs="Arial"/>
          <w:b/>
          <w:bCs/>
          <w:sz w:val="24"/>
          <w:szCs w:val="24"/>
        </w:rPr>
        <w:t>análises comparativas</w:t>
      </w:r>
      <w:r>
        <w:rPr>
          <w:rFonts w:ascii="Arial" w:hAnsi="Arial" w:cs="Arial"/>
          <w:sz w:val="24"/>
          <w:szCs w:val="24"/>
        </w:rPr>
        <w:t> que indicaram a superioridade do termonebulizador em relação a métodos manuais, garantindo maior </w:t>
      </w:r>
      <w:r>
        <w:rPr>
          <w:rFonts w:ascii="Arial" w:hAnsi="Arial" w:cs="Arial"/>
          <w:b/>
          <w:bCs/>
          <w:sz w:val="24"/>
          <w:szCs w:val="24"/>
        </w:rPr>
        <w:t>precisão na aplicação de inseticidas</w:t>
      </w:r>
      <w:r>
        <w:rPr>
          <w:rFonts w:ascii="Arial" w:hAnsi="Arial" w:cs="Arial"/>
          <w:sz w:val="24"/>
          <w:szCs w:val="24"/>
        </w:rPr>
        <w:t> e </w:t>
      </w:r>
      <w:r>
        <w:rPr>
          <w:rFonts w:ascii="Arial" w:hAnsi="Arial" w:cs="Arial"/>
          <w:b/>
          <w:bCs/>
          <w:sz w:val="24"/>
          <w:szCs w:val="24"/>
        </w:rPr>
        <w:t>redução no tempo de resposta</w:t>
      </w:r>
      <w:r>
        <w:rPr>
          <w:rFonts w:ascii="Arial" w:hAnsi="Arial" w:cs="Arial"/>
          <w:sz w:val="24"/>
          <w:szCs w:val="24"/>
        </w:rPr>
        <w:t>. Como se trata de uma compra esporádica, sem continuidade operacional após a entrega, a fundamentação prioriza critérios de </w:t>
      </w:r>
      <w:r>
        <w:rPr>
          <w:rFonts w:ascii="Arial" w:hAnsi="Arial" w:cs="Arial"/>
          <w:b/>
          <w:bCs/>
          <w:sz w:val="24"/>
          <w:szCs w:val="24"/>
        </w:rPr>
        <w:t>urgência e eficiência</w:t>
      </w:r>
      <w:r>
        <w:rPr>
          <w:rFonts w:ascii="Arial" w:hAnsi="Arial" w:cs="Arial"/>
          <w:sz w:val="24"/>
          <w:szCs w:val="24"/>
        </w:rPr>
        <w:t>, conforme disposto na legislação vigente (Lei nº 14.133/2021, quando aplicável). A aquisição está alinhada com as diretrizes do </w:t>
      </w:r>
      <w:r>
        <w:rPr>
          <w:rFonts w:ascii="Arial" w:hAnsi="Arial" w:cs="Arial"/>
          <w:b/>
          <w:bCs/>
          <w:sz w:val="24"/>
          <w:szCs w:val="24"/>
        </w:rPr>
        <w:t>Plano Municipal de Combate à Dengue</w:t>
      </w:r>
      <w:r>
        <w:rPr>
          <w:rFonts w:ascii="Arial" w:hAnsi="Arial" w:cs="Arial"/>
          <w:sz w:val="24"/>
          <w:szCs w:val="24"/>
        </w:rPr>
        <w:t> e com recomendações técnicas do Ministério da Saúde.</w:t>
      </w:r>
    </w:p>
    <w:p w14:paraId="2591FD07">
      <w:pPr>
        <w:spacing w:line="360" w:lineRule="auto"/>
        <w:ind w:left="-567" w:right="-708" w:firstLine="709"/>
        <w:jc w:val="both"/>
        <w:rPr>
          <w:rFonts w:ascii="Arial" w:hAnsi="Arial" w:cs="Arial"/>
          <w:sz w:val="24"/>
          <w:szCs w:val="24"/>
        </w:rPr>
      </w:pPr>
    </w:p>
    <w:p w14:paraId="4EC94E1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2491648F">
      <w:pPr>
        <w:spacing w:line="360" w:lineRule="auto"/>
        <w:ind w:left="-567" w:right="-708" w:firstLine="709"/>
        <w:jc w:val="both"/>
        <w:rPr>
          <w:rFonts w:ascii="Arial" w:hAnsi="Arial" w:eastAsia="Arial-BoldMT" w:cs="Arial"/>
          <w:b/>
          <w:bCs/>
          <w:sz w:val="24"/>
          <w:szCs w:val="24"/>
        </w:rPr>
      </w:pPr>
    </w:p>
    <w:p w14:paraId="16B4A38B">
      <w:pPr>
        <w:spacing w:line="360" w:lineRule="auto"/>
        <w:ind w:left="-567" w:right="-708" w:firstLine="567"/>
        <w:jc w:val="both"/>
        <w:rPr>
          <w:rFonts w:ascii="Arial" w:hAnsi="Arial" w:cs="Arial"/>
          <w:sz w:val="24"/>
          <w:szCs w:val="24"/>
        </w:rPr>
      </w:pPr>
      <w:r>
        <w:rPr>
          <w:rFonts w:ascii="Arial" w:hAnsi="Arial" w:cs="Arial"/>
          <w:sz w:val="24"/>
          <w:szCs w:val="24"/>
        </w:rPr>
        <w:t>A solução proposta para o Setor de Vigilância Sanitária de Rifaina consiste na aquisição de um </w:t>
      </w:r>
      <w:r>
        <w:rPr>
          <w:rFonts w:ascii="Arial" w:hAnsi="Arial" w:cs="Arial"/>
          <w:b/>
          <w:bCs/>
          <w:sz w:val="24"/>
          <w:szCs w:val="24"/>
        </w:rPr>
        <w:t>termonebulizador portátil</w:t>
      </w:r>
      <w:r>
        <w:rPr>
          <w:rFonts w:ascii="Arial" w:hAnsi="Arial" w:cs="Arial"/>
          <w:sz w:val="24"/>
          <w:szCs w:val="24"/>
        </w:rPr>
        <w:t>, abrangendo todo o seu ciclo de vida, desde a </w:t>
      </w:r>
      <w:r>
        <w:rPr>
          <w:rFonts w:ascii="Arial" w:hAnsi="Arial" w:cs="Arial"/>
          <w:b/>
          <w:bCs/>
          <w:sz w:val="24"/>
          <w:szCs w:val="24"/>
        </w:rPr>
        <w:t>escolha do modelo tecnicamente adequado</w:t>
      </w:r>
      <w:r>
        <w:rPr>
          <w:rFonts w:ascii="Arial" w:hAnsi="Arial" w:cs="Arial"/>
          <w:sz w:val="24"/>
          <w:szCs w:val="24"/>
        </w:rPr>
        <w:t> (com capacidade de nebulização eficiente, compatibilidade com inseticidas recomendados pelo Ministério da Saúde e durabilidade) até a </w:t>
      </w:r>
      <w:r>
        <w:rPr>
          <w:rFonts w:ascii="Arial" w:hAnsi="Arial" w:cs="Arial"/>
          <w:b/>
          <w:bCs/>
          <w:sz w:val="24"/>
          <w:szCs w:val="24"/>
        </w:rPr>
        <w:t>entrega, capacitação dos operadores, manutenção preventiva e corretiva, e descarte ambientalmente correto</w:t>
      </w:r>
      <w:r>
        <w:rPr>
          <w:rFonts w:ascii="Arial" w:hAnsi="Arial" w:cs="Arial"/>
          <w:sz w:val="24"/>
          <w:szCs w:val="24"/>
        </w:rPr>
        <w:t> ao final de sua vida útil. O equipamento será utilizado em </w:t>
      </w:r>
      <w:r>
        <w:rPr>
          <w:rFonts w:ascii="Arial" w:hAnsi="Arial" w:cs="Arial"/>
          <w:b/>
          <w:bCs/>
          <w:sz w:val="24"/>
          <w:szCs w:val="24"/>
        </w:rPr>
        <w:t>ações de bloqueio vetorial</w:t>
      </w:r>
      <w:r>
        <w:rPr>
          <w:rFonts w:ascii="Arial" w:hAnsi="Arial" w:cs="Arial"/>
          <w:sz w:val="24"/>
          <w:szCs w:val="24"/>
        </w:rPr>
        <w:t> contra o </w:t>
      </w:r>
      <w:r>
        <w:rPr>
          <w:rFonts w:ascii="Arial" w:hAnsi="Arial" w:cs="Arial"/>
          <w:i/>
          <w:iCs/>
          <w:sz w:val="24"/>
          <w:szCs w:val="24"/>
        </w:rPr>
        <w:t>Aedes aegypti</w:t>
      </w:r>
      <w:r>
        <w:rPr>
          <w:rFonts w:ascii="Arial" w:hAnsi="Arial" w:cs="Arial"/>
          <w:sz w:val="24"/>
          <w:szCs w:val="24"/>
        </w:rPr>
        <w:t>, garantindo maior cobertura e rapidez na aplicação de inseticidas em áreas de surto de dengue, com monitoramento periódico de sua eficácia. A aquisição segue critérios de </w:t>
      </w:r>
      <w:r>
        <w:rPr>
          <w:rFonts w:ascii="Arial" w:hAnsi="Arial" w:cs="Arial"/>
          <w:b/>
          <w:bCs/>
          <w:sz w:val="24"/>
          <w:szCs w:val="24"/>
        </w:rPr>
        <w:t>sustentabilidade</w:t>
      </w:r>
      <w:r>
        <w:rPr>
          <w:rFonts w:ascii="Arial" w:hAnsi="Arial" w:cs="Arial"/>
          <w:sz w:val="24"/>
          <w:szCs w:val="24"/>
        </w:rPr>
        <w:t> (baixo consumo de combustível e insumos) e </w:t>
      </w:r>
      <w:r>
        <w:rPr>
          <w:rFonts w:ascii="Arial" w:hAnsi="Arial" w:cs="Arial"/>
          <w:b/>
          <w:bCs/>
          <w:sz w:val="24"/>
          <w:szCs w:val="24"/>
        </w:rPr>
        <w:t>conformidade técnica</w:t>
      </w:r>
      <w:r>
        <w:rPr>
          <w:rFonts w:ascii="Arial" w:hAnsi="Arial" w:cs="Arial"/>
          <w:sz w:val="24"/>
          <w:szCs w:val="24"/>
        </w:rPr>
        <w:t>, integrando-se às estratégias municipais de vigilância em saúde, enquanto sua manutenção será realizada conforme orientações do fabricante e normas sanitárias, assegurando operacionalidade por todo o período de utilização.</w:t>
      </w:r>
    </w:p>
    <w:p w14:paraId="71D9C021">
      <w:pPr>
        <w:spacing w:line="360" w:lineRule="auto"/>
        <w:ind w:right="-708"/>
        <w:jc w:val="both"/>
        <w:rPr>
          <w:rFonts w:ascii="Arial" w:hAnsi="Arial" w:cs="Arial"/>
          <w:sz w:val="24"/>
          <w:szCs w:val="24"/>
        </w:rPr>
      </w:pPr>
    </w:p>
    <w:p w14:paraId="6F041519">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19BF610D">
      <w:pPr>
        <w:spacing w:line="360" w:lineRule="auto"/>
        <w:ind w:left="-567" w:right="-708" w:firstLine="709"/>
        <w:jc w:val="both"/>
        <w:rPr>
          <w:rFonts w:ascii="Arial" w:hAnsi="Arial" w:eastAsia="Arial-BoldMT" w:cs="Arial"/>
          <w:b/>
          <w:bCs/>
          <w:sz w:val="24"/>
          <w:szCs w:val="24"/>
        </w:rPr>
      </w:pPr>
    </w:p>
    <w:p w14:paraId="77744D32">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3" w:name="_Hlk188436585"/>
      <w:bookmarkStart w:id="4" w:name="_Hlk187756049"/>
      <w:r>
        <w:rPr>
          <w:rFonts w:ascii="Arial" w:hAnsi="Arial" w:eastAsia="Calibri" w:cs="Arial"/>
          <w:bCs/>
          <w:sz w:val="24"/>
          <w:szCs w:val="24"/>
        </w:rPr>
        <w:t>Os requisitos da contratação incluem:</w:t>
      </w:r>
    </w:p>
    <w:p w14:paraId="6CC6873A">
      <w:pPr>
        <w:autoSpaceDE w:val="0"/>
        <w:autoSpaceDN w:val="0"/>
        <w:adjustRightInd w:val="0"/>
        <w:spacing w:line="360" w:lineRule="auto"/>
        <w:ind w:left="-567" w:right="-708" w:firstLine="709"/>
        <w:jc w:val="both"/>
        <w:rPr>
          <w:rFonts w:ascii="Arial" w:hAnsi="Arial" w:cs="Arial"/>
          <w:sz w:val="24"/>
          <w:szCs w:val="24"/>
          <w:lang w:eastAsia="pt-BR"/>
        </w:rPr>
      </w:pPr>
    </w:p>
    <w:bookmarkEnd w:id="3"/>
    <w:bookmarkEnd w:id="4"/>
    <w:p w14:paraId="3B2722EE">
      <w:pPr>
        <w:numPr>
          <w:ilvl w:val="1"/>
          <w:numId w:val="10"/>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20C552B1">
      <w:pPr>
        <w:spacing w:line="360" w:lineRule="auto"/>
        <w:ind w:left="-426" w:right="-708"/>
        <w:jc w:val="both"/>
        <w:rPr>
          <w:rFonts w:ascii="Arial" w:hAnsi="Arial" w:eastAsia="Arial-BoldMT" w:cs="Arial"/>
          <w:b/>
          <w:bCs/>
          <w:sz w:val="24"/>
          <w:szCs w:val="24"/>
        </w:rPr>
      </w:pPr>
    </w:p>
    <w:p w14:paraId="2139E0BC">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Fornecer Infraestrutura: </w:t>
      </w:r>
      <w:r>
        <w:rPr>
          <w:rFonts w:ascii="Arial" w:hAnsi="Arial" w:eastAsia="Arial-BoldMT" w:cs="Arial"/>
          <w:sz w:val="24"/>
          <w:szCs w:val="24"/>
        </w:rPr>
        <w:t>Disponibilizar espaço físico adequado, com instalações elétricas, hidráulicas e de ventilação necessárias para o funcionamento do equipamento.</w:t>
      </w:r>
    </w:p>
    <w:p w14:paraId="6604CA83">
      <w:pPr>
        <w:numPr>
          <w:ilvl w:val="2"/>
          <w:numId w:val="10"/>
        </w:numPr>
        <w:spacing w:line="360" w:lineRule="auto"/>
        <w:ind w:left="-709"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equipamentos com as especificações de um prazo de até 30 dias após o recebimento do item.</w:t>
      </w:r>
    </w:p>
    <w:p w14:paraId="7097E7C4">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1A2C9B09">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Capacitação de Pessoal: </w:t>
      </w:r>
      <w:r>
        <w:rPr>
          <w:rFonts w:ascii="Arial" w:hAnsi="Arial" w:eastAsia="Arial-BoldMT" w:cs="Arial"/>
          <w:sz w:val="24"/>
          <w:szCs w:val="24"/>
        </w:rPr>
        <w:t>Garantir a participação de técnicos responsáveis em treinamentos oferecidos pelo contratado para operação e manutenção básica do equipamento.</w:t>
      </w:r>
    </w:p>
    <w:p w14:paraId="6ABE3BD3">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 equipamento.</w:t>
      </w:r>
    </w:p>
    <w:p w14:paraId="527520F1">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bens adquiridos, seguindo as orientações técnicas fornecidas.</w:t>
      </w:r>
    </w:p>
    <w:p w14:paraId="123080F3">
      <w:pPr>
        <w:spacing w:line="360" w:lineRule="auto"/>
        <w:ind w:left="-426" w:right="-708"/>
        <w:jc w:val="both"/>
        <w:rPr>
          <w:rFonts w:ascii="Arial" w:hAnsi="Arial" w:eastAsia="Arial-BoldMT" w:cs="Arial"/>
          <w:b/>
          <w:bCs/>
          <w:sz w:val="24"/>
          <w:szCs w:val="24"/>
        </w:rPr>
      </w:pPr>
    </w:p>
    <w:p w14:paraId="2381C18F">
      <w:pPr>
        <w:numPr>
          <w:ilvl w:val="1"/>
          <w:numId w:val="10"/>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3153274D">
      <w:pPr>
        <w:spacing w:line="360" w:lineRule="auto"/>
        <w:ind w:left="-709" w:right="-708" w:firstLine="141"/>
        <w:jc w:val="both"/>
        <w:rPr>
          <w:rFonts w:ascii="Arial" w:hAnsi="Arial" w:eastAsia="Arial-BoldMT" w:cs="Arial"/>
          <w:sz w:val="24"/>
          <w:szCs w:val="24"/>
        </w:rPr>
      </w:pPr>
    </w:p>
    <w:p w14:paraId="58A60F22">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Fornecimento dos Equipamentos</w:t>
      </w:r>
      <w:r>
        <w:rPr>
          <w:rFonts w:ascii="Arial" w:hAnsi="Arial" w:cs="Arial"/>
          <w:sz w:val="24"/>
          <w:szCs w:val="24"/>
        </w:rPr>
        <w:t>: Entregar o equipamento conforme as especificações técnicas e padrões de qualidade exigidos no edital, dentro do prazo estipulado.</w:t>
      </w:r>
    </w:p>
    <w:p w14:paraId="0A430A94">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Instalação e Configuração: </w:t>
      </w:r>
      <w:r>
        <w:rPr>
          <w:rFonts w:ascii="Arial" w:hAnsi="Arial" w:cs="Arial"/>
          <w:sz w:val="24"/>
          <w:szCs w:val="24"/>
        </w:rPr>
        <w:t>Realizar a instalação, calibração e testes operacionais dos equipamento no local designado pelo contratante, garantindo pleno funcionamento antes da entrega definitiva.</w:t>
      </w:r>
    </w:p>
    <w:p w14:paraId="4551D911">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Assistência Técnica e Manutenção: </w:t>
      </w:r>
      <w:r>
        <w:rPr>
          <w:rFonts w:ascii="Arial" w:hAnsi="Arial" w:cs="Arial"/>
          <w:sz w:val="24"/>
          <w:szCs w:val="24"/>
        </w:rPr>
        <w:t>Prestar suporte técnico especializado durante todo o período de garantia (mínimo de 12 meses), incluindo manutenção preventiva e corretiva, com tempo de resposta máximo de 48 horas para falhas críticas.</w:t>
      </w:r>
    </w:p>
    <w:p w14:paraId="28B1065E">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Treinamento dos Operadores: </w:t>
      </w:r>
      <w:r>
        <w:rPr>
          <w:rFonts w:ascii="Arial" w:hAnsi="Arial" w:cs="Arial"/>
          <w:sz w:val="24"/>
          <w:szCs w:val="24"/>
        </w:rPr>
        <w:t>Capacitar os técnicos e profissionais do contratante na operação, manutenção básica e procedimentos de segurança do equipamento, fornecendo material didático em português.</w:t>
      </w:r>
    </w:p>
    <w:p w14:paraId="063366E2">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Documentação e Certificações: </w:t>
      </w:r>
      <w:r>
        <w:rPr>
          <w:rFonts w:ascii="Arial" w:hAnsi="Arial" w:cs="Arial"/>
          <w:sz w:val="24"/>
          <w:szCs w:val="24"/>
        </w:rPr>
        <w:t>Entregar toda a documentação técnica, incluindo manuais de operação, certificados de garantia, laudos de calibração e conformidade com normas sanitárias (ANVISA, INMETRO, ISO, etc.).</w:t>
      </w:r>
    </w:p>
    <w:p w14:paraId="269A80D6">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Garantia e Reposição de Peças: </w:t>
      </w:r>
      <w:r>
        <w:rPr>
          <w:rFonts w:ascii="Arial" w:hAnsi="Arial" w:cs="Arial"/>
          <w:sz w:val="24"/>
          <w:szCs w:val="24"/>
        </w:rPr>
        <w:t>Cobrir, durante o período de garantia, a substituição de peças defeituosas ou danificadas, sem custo adicional para o contratante.</w:t>
      </w:r>
    </w:p>
    <w:p w14:paraId="7660CBC4">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Cumprimento de Prazos: </w:t>
      </w:r>
      <w:r>
        <w:rPr>
          <w:rFonts w:ascii="Arial" w:hAnsi="Arial" w:cs="Arial"/>
          <w:sz w:val="24"/>
          <w:szCs w:val="24"/>
        </w:rPr>
        <w:t>Observar rigorosamente os prazos estabelecidos para entrega, instalação e reparos, sob pena de aplicação de sanções contratuais.</w:t>
      </w:r>
    </w:p>
    <w:p w14:paraId="24E53EBF">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Comunicação de Irregularidades: </w:t>
      </w:r>
      <w:r>
        <w:rPr>
          <w:rFonts w:ascii="Arial" w:hAnsi="Arial" w:cs="Arial"/>
          <w:sz w:val="24"/>
          <w:szCs w:val="24"/>
        </w:rPr>
        <w:t>Informar imediatamente o contratante sobre eventuais problemas técnicos ou atrasos que possam comprometer a execução do contrato.</w:t>
      </w:r>
    </w:p>
    <w:p w14:paraId="581886F1">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Descarte Responsável (se aplicável): </w:t>
      </w:r>
      <w:r>
        <w:rPr>
          <w:rFonts w:ascii="Arial" w:hAnsi="Arial" w:cs="Arial"/>
          <w:sz w:val="24"/>
          <w:szCs w:val="24"/>
        </w:rPr>
        <w:t>Assegurar o descarte ambientalmente adequado de componentes substituídos, seguindo as normas ambientais vigentes.</w:t>
      </w:r>
    </w:p>
    <w:p w14:paraId="3A377E13">
      <w:pPr>
        <w:numPr>
          <w:ilvl w:val="2"/>
          <w:numId w:val="10"/>
        </w:numPr>
        <w:spacing w:line="360" w:lineRule="auto"/>
        <w:ind w:left="-709" w:right="-708" w:firstLine="142"/>
        <w:jc w:val="both"/>
        <w:rPr>
          <w:rFonts w:ascii="Arial" w:hAnsi="Arial" w:cs="Arial"/>
          <w:sz w:val="24"/>
          <w:szCs w:val="24"/>
        </w:rPr>
      </w:pPr>
      <w:r>
        <w:rPr>
          <w:rFonts w:ascii="Arial" w:hAnsi="Arial" w:cs="Arial"/>
          <w:b/>
          <w:bCs/>
          <w:sz w:val="24"/>
          <w:szCs w:val="24"/>
        </w:rPr>
        <w:t xml:space="preserve">Conformidade Legal: </w:t>
      </w:r>
      <w:r>
        <w:rPr>
          <w:rFonts w:ascii="Arial" w:hAnsi="Arial" w:cs="Arial"/>
          <w:sz w:val="24"/>
          <w:szCs w:val="24"/>
        </w:rPr>
        <w:t>Cumprir todas as exigências legais, fiscais e trabalhistas pertinentes à execução do contrato, arcando com eventuais penalidades por descumprimento.</w:t>
      </w:r>
    </w:p>
    <w:p w14:paraId="597A86AD">
      <w:pPr>
        <w:spacing w:line="360" w:lineRule="auto"/>
        <w:ind w:left="142" w:right="-708"/>
        <w:jc w:val="both"/>
        <w:rPr>
          <w:rFonts w:ascii="Arial" w:hAnsi="Arial" w:cs="Arial"/>
          <w:b/>
          <w:bCs/>
          <w:sz w:val="24"/>
          <w:szCs w:val="24"/>
        </w:rPr>
      </w:pPr>
    </w:p>
    <w:p w14:paraId="23EA16F1">
      <w:pPr>
        <w:numPr>
          <w:ilvl w:val="0"/>
          <w:numId w:val="11"/>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7C269B23">
      <w:pPr>
        <w:spacing w:line="360" w:lineRule="auto"/>
        <w:ind w:left="-567" w:right="-708" w:firstLine="709"/>
        <w:jc w:val="both"/>
        <w:rPr>
          <w:rFonts w:ascii="Arial" w:hAnsi="Arial" w:cs="Arial"/>
          <w:b/>
          <w:bCs/>
          <w:sz w:val="24"/>
          <w:szCs w:val="24"/>
        </w:rPr>
      </w:pPr>
    </w:p>
    <w:p w14:paraId="22FBB2A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objeto prevê que o contrato será executado em etapas sequenciais, iniciando-se com a entrega do equipamento dentro do prazo estipulado, seguida de instalação e testes operacionais assegurando que todos os itens estejam em pleno funcionamento conforme as especificações técnicas. O contratado deverá comprovar a conformidade dos equipamento mediante vistoria técnica e documentação pertinente, incluindo laudos de calibração e certificações sanitárias. O contrato somente será encerrado após a entrega total, instalação concluída, aceitação formal pelo contratante e cumprimento integral das obrigações, incluindo a garantia de assistência técnica pós-entrega. Caso haja pendências, o prazo de encerramento será prorrogado até a regularização das não conformidades, garantindo que o objeto seja executado com eficiência e dentro dos padrões exigidos.</w:t>
      </w:r>
    </w:p>
    <w:p w14:paraId="6EB8925B">
      <w:pPr>
        <w:spacing w:line="360" w:lineRule="auto"/>
        <w:ind w:left="-567" w:right="-708" w:firstLine="709"/>
        <w:jc w:val="both"/>
        <w:rPr>
          <w:rFonts w:ascii="Arial" w:hAnsi="Arial" w:eastAsia="Arial-BoldMT" w:cs="Arial"/>
          <w:sz w:val="24"/>
          <w:szCs w:val="24"/>
        </w:rPr>
      </w:pPr>
    </w:p>
    <w:p w14:paraId="1F44447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3804B426">
      <w:pPr>
        <w:spacing w:line="360" w:lineRule="auto"/>
        <w:ind w:left="-567" w:right="-708" w:firstLine="709"/>
        <w:jc w:val="both"/>
        <w:rPr>
          <w:rFonts w:ascii="Arial" w:hAnsi="Arial" w:eastAsia="Arial-BoldMT" w:cs="Arial"/>
          <w:b/>
          <w:bCs/>
          <w:sz w:val="24"/>
          <w:szCs w:val="24"/>
        </w:rPr>
      </w:pPr>
    </w:p>
    <w:p w14:paraId="47DE0059">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556C25D6">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59B9A21E">
      <w:pPr>
        <w:spacing w:line="360" w:lineRule="auto"/>
        <w:ind w:right="-708"/>
        <w:jc w:val="both"/>
        <w:rPr>
          <w:rFonts w:ascii="Arial" w:hAnsi="Arial" w:eastAsia="Arial-BoldMT" w:cs="Arial"/>
          <w:sz w:val="24"/>
          <w:szCs w:val="24"/>
        </w:rPr>
      </w:pPr>
    </w:p>
    <w:p w14:paraId="429F79D3">
      <w:pPr>
        <w:numPr>
          <w:ilvl w:val="0"/>
          <w:numId w:val="11"/>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56BCA3F6">
      <w:pPr>
        <w:spacing w:line="360" w:lineRule="auto"/>
        <w:ind w:left="-567" w:right="-708" w:firstLine="709"/>
        <w:jc w:val="both"/>
        <w:rPr>
          <w:rFonts w:ascii="Arial" w:hAnsi="Arial" w:eastAsia="Arial-BoldMT" w:cs="Arial"/>
          <w:b/>
          <w:bCs/>
          <w:sz w:val="24"/>
          <w:szCs w:val="24"/>
        </w:rPr>
      </w:pPr>
    </w:p>
    <w:p w14:paraId="721F33E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equipamentos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0A3FE65A">
      <w:pPr>
        <w:spacing w:line="360" w:lineRule="auto"/>
        <w:ind w:left="-567" w:right="-708" w:firstLine="709"/>
        <w:jc w:val="both"/>
        <w:rPr>
          <w:rFonts w:ascii="Arial" w:hAnsi="Arial" w:eastAsia="Arial-BoldMT" w:cs="Arial"/>
          <w:sz w:val="24"/>
          <w:szCs w:val="24"/>
        </w:rPr>
      </w:pPr>
    </w:p>
    <w:p w14:paraId="5920853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0EDF9BDA">
      <w:pPr>
        <w:spacing w:line="360" w:lineRule="auto"/>
        <w:ind w:left="-567" w:right="-708" w:firstLine="709"/>
        <w:jc w:val="both"/>
        <w:rPr>
          <w:rFonts w:ascii="Arial" w:hAnsi="Arial" w:eastAsia="Arial-BoldMT" w:cs="Arial"/>
          <w:b/>
          <w:bCs/>
          <w:sz w:val="24"/>
          <w:szCs w:val="24"/>
        </w:rPr>
      </w:pPr>
    </w:p>
    <w:p w14:paraId="6DE1AA21">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7046F4F8">
      <w:pPr>
        <w:spacing w:line="360" w:lineRule="auto"/>
        <w:ind w:left="-567" w:right="-708" w:firstLine="709"/>
        <w:jc w:val="both"/>
        <w:rPr>
          <w:rFonts w:ascii="Arial" w:hAnsi="Arial" w:eastAsia="Arial-BoldMT" w:cs="Arial"/>
          <w:sz w:val="24"/>
          <w:szCs w:val="24"/>
        </w:rPr>
      </w:pPr>
    </w:p>
    <w:p w14:paraId="2CC9D0C3">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4"/>
        <w:tblW w:w="5434" w:type="pct"/>
        <w:tblInd w:w="0" w:type="dxa"/>
        <w:tblLayout w:type="fixed"/>
        <w:tblCellMar>
          <w:top w:w="0" w:type="dxa"/>
          <w:left w:w="70" w:type="dxa"/>
          <w:bottom w:w="0" w:type="dxa"/>
          <w:right w:w="70" w:type="dxa"/>
        </w:tblCellMar>
      </w:tblPr>
      <w:tblGrid>
        <w:gridCol w:w="623"/>
        <w:gridCol w:w="869"/>
        <w:gridCol w:w="623"/>
        <w:gridCol w:w="2458"/>
        <w:gridCol w:w="1964"/>
        <w:gridCol w:w="1593"/>
        <w:gridCol w:w="3129"/>
      </w:tblGrid>
      <w:tr w14:paraId="47E166ED">
        <w:tblPrEx>
          <w:tblCellMar>
            <w:top w:w="0" w:type="dxa"/>
            <w:left w:w="70" w:type="dxa"/>
            <w:bottom w:w="0" w:type="dxa"/>
            <w:right w:w="70" w:type="dxa"/>
          </w:tblCellMar>
        </w:tblPrEx>
        <w:trPr>
          <w:trHeight w:val="519" w:hRule="atLeast"/>
        </w:trPr>
        <w:tc>
          <w:tcPr>
            <w:tcW w:w="276" w:type="pct"/>
            <w:tcBorders>
              <w:top w:val="single" w:color="auto" w:sz="8" w:space="0"/>
              <w:left w:val="single" w:color="auto" w:sz="8" w:space="0"/>
              <w:bottom w:val="single" w:color="auto" w:sz="8" w:space="0"/>
              <w:right w:val="single" w:color="auto" w:sz="8" w:space="0"/>
            </w:tcBorders>
            <w:shd w:val="clear" w:color="auto" w:fill="auto"/>
            <w:noWrap/>
            <w:vAlign w:val="center"/>
          </w:tcPr>
          <w:p w14:paraId="39D759DA">
            <w:pPr>
              <w:suppressAutoHyphens w:val="0"/>
              <w:jc w:val="center"/>
              <w:rPr>
                <w:rFonts w:ascii="Aptos Narrow" w:hAnsi="Aptos Narrow"/>
                <w:b/>
                <w:bCs/>
                <w:color w:val="000000"/>
                <w:sz w:val="22"/>
                <w:szCs w:val="22"/>
                <w:lang w:eastAsia="pt-BR"/>
              </w:rPr>
            </w:pPr>
            <w:bookmarkStart w:id="5" w:name="RANGE!A1"/>
            <w:bookmarkStart w:id="6" w:name="_Hlk188606217" w:colFirst="1" w:colLast="6"/>
            <w:r>
              <w:rPr>
                <w:rFonts w:ascii="Aptos Narrow" w:hAnsi="Aptos Narrow"/>
                <w:b/>
                <w:bCs/>
                <w:color w:val="000000"/>
                <w:sz w:val="22"/>
                <w:szCs w:val="22"/>
                <w:lang w:eastAsia="pt-BR"/>
              </w:rPr>
              <w:t>ITEM</w:t>
            </w:r>
            <w:bookmarkEnd w:id="5"/>
          </w:p>
        </w:tc>
        <w:tc>
          <w:tcPr>
            <w:tcW w:w="386" w:type="pct"/>
            <w:tcBorders>
              <w:top w:val="single" w:color="auto" w:sz="8" w:space="0"/>
              <w:left w:val="nil"/>
              <w:bottom w:val="single" w:color="auto" w:sz="8" w:space="0"/>
              <w:right w:val="single" w:color="auto" w:sz="8" w:space="0"/>
            </w:tcBorders>
            <w:shd w:val="clear" w:color="auto" w:fill="auto"/>
            <w:noWrap/>
            <w:vAlign w:val="center"/>
          </w:tcPr>
          <w:p w14:paraId="0E681F9E">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QUANT.</w:t>
            </w:r>
          </w:p>
        </w:tc>
        <w:tc>
          <w:tcPr>
            <w:tcW w:w="276" w:type="pct"/>
            <w:tcBorders>
              <w:top w:val="single" w:color="auto" w:sz="8" w:space="0"/>
              <w:left w:val="nil"/>
              <w:bottom w:val="single" w:color="auto" w:sz="8" w:space="0"/>
              <w:right w:val="single" w:color="auto" w:sz="8" w:space="0"/>
            </w:tcBorders>
            <w:shd w:val="clear" w:color="auto" w:fill="auto"/>
            <w:noWrap/>
            <w:vAlign w:val="center"/>
          </w:tcPr>
          <w:p w14:paraId="125F1508">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UNID</w:t>
            </w:r>
          </w:p>
        </w:tc>
        <w:tc>
          <w:tcPr>
            <w:tcW w:w="1091" w:type="pct"/>
            <w:tcBorders>
              <w:top w:val="single" w:color="auto" w:sz="8" w:space="0"/>
              <w:left w:val="nil"/>
              <w:bottom w:val="single" w:color="auto" w:sz="8" w:space="0"/>
              <w:right w:val="single" w:color="auto" w:sz="8" w:space="0"/>
            </w:tcBorders>
            <w:shd w:val="clear" w:color="auto" w:fill="auto"/>
            <w:noWrap/>
            <w:vAlign w:val="center"/>
          </w:tcPr>
          <w:p w14:paraId="7247475C">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DESCRIÇÃO DO SERVIÇO/PRODUTO</w:t>
            </w:r>
          </w:p>
        </w:tc>
        <w:tc>
          <w:tcPr>
            <w:tcW w:w="871" w:type="pct"/>
            <w:tcBorders>
              <w:top w:val="single" w:color="auto" w:sz="8" w:space="0"/>
              <w:left w:val="nil"/>
              <w:bottom w:val="single" w:color="auto" w:sz="8" w:space="0"/>
              <w:right w:val="single" w:color="auto" w:sz="8" w:space="0"/>
            </w:tcBorders>
            <w:shd w:val="clear" w:color="auto" w:fill="auto"/>
            <w:noWrap/>
            <w:vAlign w:val="center"/>
          </w:tcPr>
          <w:p w14:paraId="5C32217D">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VALOR UNITÁRIO</w:t>
            </w:r>
          </w:p>
        </w:tc>
        <w:tc>
          <w:tcPr>
            <w:tcW w:w="707" w:type="pct"/>
            <w:tcBorders>
              <w:top w:val="single" w:color="auto" w:sz="8" w:space="0"/>
              <w:left w:val="nil"/>
              <w:bottom w:val="single" w:color="auto" w:sz="8" w:space="0"/>
              <w:right w:val="single" w:color="auto" w:sz="8" w:space="0"/>
            </w:tcBorders>
            <w:shd w:val="clear" w:color="auto" w:fill="auto"/>
            <w:noWrap/>
            <w:vAlign w:val="center"/>
          </w:tcPr>
          <w:p w14:paraId="7ABE7362">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VALOR TOTAL</w:t>
            </w:r>
          </w:p>
        </w:tc>
        <w:tc>
          <w:tcPr>
            <w:tcW w:w="1389" w:type="pct"/>
            <w:tcBorders>
              <w:top w:val="single" w:color="auto" w:sz="8" w:space="0"/>
              <w:left w:val="nil"/>
              <w:bottom w:val="single" w:color="auto" w:sz="8" w:space="0"/>
              <w:right w:val="single" w:color="auto" w:sz="8" w:space="0"/>
            </w:tcBorders>
            <w:shd w:val="clear" w:color="auto" w:fill="auto"/>
            <w:noWrap/>
            <w:vAlign w:val="center"/>
          </w:tcPr>
          <w:p w14:paraId="20137AAE">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DESCRITIVO</w:t>
            </w:r>
          </w:p>
        </w:tc>
      </w:tr>
      <w:tr w14:paraId="0778D3B4">
        <w:tblPrEx>
          <w:tblCellMar>
            <w:top w:w="0" w:type="dxa"/>
            <w:left w:w="70" w:type="dxa"/>
            <w:bottom w:w="0" w:type="dxa"/>
            <w:right w:w="70" w:type="dxa"/>
          </w:tblCellMar>
        </w:tblPrEx>
        <w:trPr>
          <w:trHeight w:val="14035" w:hRule="atLeast"/>
        </w:trPr>
        <w:tc>
          <w:tcPr>
            <w:tcW w:w="276" w:type="pct"/>
            <w:tcBorders>
              <w:top w:val="nil"/>
              <w:left w:val="single" w:color="auto" w:sz="8" w:space="0"/>
              <w:bottom w:val="single" w:color="auto" w:sz="8" w:space="0"/>
              <w:right w:val="single" w:color="auto" w:sz="8" w:space="0"/>
            </w:tcBorders>
            <w:shd w:val="clear" w:color="auto" w:fill="auto"/>
            <w:noWrap/>
            <w:vAlign w:val="center"/>
          </w:tcPr>
          <w:p w14:paraId="48CAACCA">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386" w:type="pct"/>
            <w:tcBorders>
              <w:top w:val="nil"/>
              <w:left w:val="nil"/>
              <w:bottom w:val="single" w:color="auto" w:sz="8" w:space="0"/>
              <w:right w:val="single" w:color="auto" w:sz="8" w:space="0"/>
            </w:tcBorders>
            <w:shd w:val="clear" w:color="auto" w:fill="auto"/>
            <w:noWrap/>
            <w:vAlign w:val="center"/>
          </w:tcPr>
          <w:p w14:paraId="721D3BD4">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276" w:type="pct"/>
            <w:tcBorders>
              <w:top w:val="nil"/>
              <w:left w:val="nil"/>
              <w:bottom w:val="single" w:color="auto" w:sz="8" w:space="0"/>
              <w:right w:val="single" w:color="auto" w:sz="8" w:space="0"/>
            </w:tcBorders>
            <w:shd w:val="clear" w:color="auto" w:fill="auto"/>
            <w:noWrap/>
            <w:vAlign w:val="center"/>
          </w:tcPr>
          <w:p w14:paraId="1CF8AC81">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1091" w:type="pct"/>
            <w:tcBorders>
              <w:top w:val="nil"/>
              <w:left w:val="nil"/>
              <w:bottom w:val="single" w:color="auto" w:sz="8" w:space="0"/>
              <w:right w:val="single" w:color="auto" w:sz="8" w:space="0"/>
            </w:tcBorders>
            <w:shd w:val="clear" w:color="auto" w:fill="auto"/>
            <w:noWrap/>
            <w:vAlign w:val="center"/>
          </w:tcPr>
          <w:p w14:paraId="30A08634">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TERMONEBULIZADOR PORTATIL</w:t>
            </w:r>
          </w:p>
        </w:tc>
        <w:tc>
          <w:tcPr>
            <w:tcW w:w="871" w:type="pct"/>
            <w:tcBorders>
              <w:top w:val="nil"/>
              <w:left w:val="nil"/>
              <w:bottom w:val="single" w:color="auto" w:sz="8" w:space="0"/>
              <w:right w:val="single" w:color="auto" w:sz="8" w:space="0"/>
            </w:tcBorders>
            <w:shd w:val="clear" w:color="auto" w:fill="auto"/>
            <w:noWrap/>
            <w:vAlign w:val="center"/>
          </w:tcPr>
          <w:p w14:paraId="00B655AD">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R$ 13.909,97</w:t>
            </w:r>
          </w:p>
        </w:tc>
        <w:tc>
          <w:tcPr>
            <w:tcW w:w="707" w:type="pct"/>
            <w:tcBorders>
              <w:top w:val="nil"/>
              <w:left w:val="nil"/>
              <w:bottom w:val="single" w:color="auto" w:sz="8" w:space="0"/>
              <w:right w:val="single" w:color="auto" w:sz="8" w:space="0"/>
            </w:tcBorders>
            <w:shd w:val="clear" w:color="auto" w:fill="auto"/>
            <w:noWrap/>
            <w:vAlign w:val="center"/>
          </w:tcPr>
          <w:p w14:paraId="63E5FAA1">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R$ 13.909,97</w:t>
            </w:r>
          </w:p>
        </w:tc>
        <w:tc>
          <w:tcPr>
            <w:tcW w:w="1389" w:type="pct"/>
            <w:tcBorders>
              <w:top w:val="nil"/>
              <w:left w:val="nil"/>
              <w:bottom w:val="single" w:color="auto" w:sz="8" w:space="0"/>
              <w:right w:val="single" w:color="auto" w:sz="8" w:space="0"/>
            </w:tcBorders>
            <w:shd w:val="clear" w:color="auto" w:fill="auto"/>
            <w:noWrap w:val="0"/>
            <w:vAlign w:val="center"/>
          </w:tcPr>
          <w:p w14:paraId="13E2E8AB">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Termonebulizador portátil, motor pulso jato de alto desempenho, a gasolina, potência aparente de 24 cv (17,5 kw). Sistema de partida através de acionamento de botão de partida, sem necessidade de pressurização manual prévia, ignição eletrônica 12v com bat - Termonebulizador portátil, motor pulso jato de alto desempenho, a gasolina, potência aparente de 24 cv (17,5 kw). Sistema de partida através de acionamento de botão de partida, sem necessidade de pressurização manual prévia, ignição eletrônica 12v com bateria selada e carregador inteligente bi volt, com 4 funções simultâneas. Câmara de combustão em aço inox refratário, volume entre 250 e 300 cm. Sistema de nebulização. Consumo de combustível de 1,5 a 2,0 litros por hora. Chassis em chapa de aço carbono, tratado com pintura a pó (eletrostática). Tanques em polietileno transparente, de formulação: 8 a 10l e combustível: 1,8 a 2 l. Desempenho com fog normal: vazão máxima de 30 litros por hora, para fog seco (óleo mineral). Espectro de gotas entre 1 e 25 um dmv. Peso vazio aproximado: 10,0 kg. Acessórios: alça de transporte, jogo de bicos dosadores, kit para limpeza e abastecimento, manual e/ou boletim técnico em português onde consiste especificação completa e instruções para utilização do equipamento.</w:t>
            </w:r>
          </w:p>
        </w:tc>
      </w:tr>
      <w:bookmarkEnd w:id="6"/>
    </w:tbl>
    <w:p w14:paraId="35767D9A">
      <w:pPr>
        <w:spacing w:line="360" w:lineRule="auto"/>
        <w:ind w:right="-708"/>
        <w:jc w:val="both"/>
        <w:rPr>
          <w:rFonts w:ascii="Arial" w:hAnsi="Arial" w:cs="Arial"/>
          <w:sz w:val="24"/>
          <w:szCs w:val="24"/>
        </w:rPr>
      </w:pPr>
    </w:p>
    <w:p w14:paraId="1D3CBC68">
      <w:pPr>
        <w:spacing w:line="360" w:lineRule="auto"/>
        <w:ind w:right="-708" w:firstLine="709"/>
        <w:jc w:val="both"/>
        <w:rPr>
          <w:rFonts w:ascii="Arial" w:hAnsi="Arial" w:cs="Arial"/>
          <w:b/>
          <w:bCs/>
          <w:sz w:val="24"/>
          <w:szCs w:val="24"/>
        </w:rPr>
      </w:pPr>
    </w:p>
    <w:p w14:paraId="253BAF5D">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07739C38">
      <w:pPr>
        <w:spacing w:line="360" w:lineRule="auto"/>
        <w:ind w:left="-567" w:right="-708" w:firstLine="709"/>
        <w:jc w:val="both"/>
        <w:rPr>
          <w:rFonts w:ascii="Arial" w:hAnsi="Arial" w:cs="Arial"/>
          <w:b/>
          <w:bCs/>
          <w:sz w:val="24"/>
          <w:szCs w:val="24"/>
        </w:rPr>
      </w:pPr>
    </w:p>
    <w:p w14:paraId="307ACC2A">
      <w:pPr>
        <w:suppressAutoHyphens w:val="0"/>
        <w:spacing w:line="360" w:lineRule="auto"/>
        <w:ind w:left="-709" w:right="-711" w:firstLine="851"/>
        <w:jc w:val="both"/>
        <w:rPr>
          <w:rFonts w:ascii="Arial" w:hAnsi="Arial" w:cs="Arial"/>
          <w:b/>
          <w:bCs/>
          <w:sz w:val="22"/>
          <w:szCs w:val="22"/>
        </w:rPr>
      </w:pPr>
      <w:bookmarkStart w:id="7" w:name="_Hlk188951126"/>
      <w:bookmarkStart w:id="8" w:name="_Hlk188602307"/>
      <w:r>
        <w:rPr>
          <w:rFonts w:ascii="Arial" w:hAnsi="Arial" w:cs="Arial"/>
          <w:b/>
          <w:bCs/>
          <w:sz w:val="22"/>
          <w:szCs w:val="22"/>
        </w:rPr>
        <w:t xml:space="preserve">Recurso municipal / estadual / federal </w:t>
      </w:r>
    </w:p>
    <w:p w14:paraId="4B62D775">
      <w:pPr>
        <w:suppressAutoHyphens w:val="0"/>
        <w:spacing w:line="360" w:lineRule="auto"/>
        <w:ind w:left="-709" w:right="-711" w:firstLine="851"/>
        <w:jc w:val="both"/>
        <w:rPr>
          <w:rFonts w:ascii="Arial" w:hAnsi="Arial" w:cs="Arial"/>
          <w:sz w:val="22"/>
          <w:szCs w:val="22"/>
        </w:rPr>
      </w:pPr>
    </w:p>
    <w:p w14:paraId="4FC18035">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70655C01">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4EF539F1">
      <w:pPr>
        <w:suppressAutoHyphens w:val="0"/>
        <w:spacing w:line="360" w:lineRule="auto"/>
        <w:ind w:left="-709" w:right="-711" w:firstLine="851"/>
        <w:jc w:val="both"/>
        <w:rPr>
          <w:rFonts w:ascii="Arial" w:hAnsi="Arial" w:cs="Arial"/>
          <w:sz w:val="22"/>
          <w:szCs w:val="22"/>
        </w:rPr>
      </w:pPr>
    </w:p>
    <w:p w14:paraId="0A7634DF">
      <w:pPr>
        <w:suppressAutoHyphens w:val="0"/>
        <w:spacing w:line="360" w:lineRule="auto"/>
        <w:ind w:left="-709" w:right="-711" w:firstLine="851"/>
        <w:jc w:val="both"/>
        <w:rPr>
          <w:rFonts w:ascii="Arial" w:hAnsi="Arial" w:cs="Arial"/>
          <w:b/>
          <w:bCs/>
          <w:sz w:val="22"/>
          <w:szCs w:val="22"/>
        </w:rPr>
      </w:pPr>
      <w:r>
        <w:rPr>
          <w:rFonts w:ascii="Arial" w:hAnsi="Arial" w:cs="Arial"/>
          <w:b/>
          <w:bCs/>
          <w:sz w:val="22"/>
          <w:szCs w:val="22"/>
        </w:rPr>
        <w:t xml:space="preserve">FICHA 266 </w:t>
      </w:r>
    </w:p>
    <w:bookmarkEnd w:id="7"/>
    <w:p w14:paraId="224E7BD2">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10.301.0034.2015.00004.4.90.52.00 </w:t>
      </w:r>
    </w:p>
    <w:p w14:paraId="44071829">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p>
    <w:p w14:paraId="157EF7A6">
      <w:pPr>
        <w:suppressAutoHyphens w:val="0"/>
        <w:spacing w:line="360" w:lineRule="auto"/>
        <w:ind w:right="-711" w:firstLine="142"/>
        <w:jc w:val="both"/>
        <w:rPr>
          <w:rFonts w:ascii="Arial" w:hAnsi="Arial" w:cs="Arial"/>
          <w:sz w:val="22"/>
          <w:szCs w:val="22"/>
        </w:rPr>
      </w:pPr>
    </w:p>
    <w:p w14:paraId="1ABC9436">
      <w:pPr>
        <w:suppressAutoHyphens w:val="0"/>
        <w:spacing w:line="360" w:lineRule="auto"/>
        <w:ind w:right="-711" w:firstLine="142"/>
        <w:jc w:val="both"/>
        <w:rPr>
          <w:rFonts w:ascii="Arial" w:hAnsi="Arial" w:cs="Arial"/>
          <w:b/>
          <w:bCs/>
          <w:sz w:val="22"/>
          <w:szCs w:val="22"/>
        </w:rPr>
      </w:pPr>
      <w:r>
        <w:rPr>
          <w:rFonts w:ascii="Arial" w:hAnsi="Arial" w:cs="Arial"/>
          <w:b/>
          <w:bCs/>
          <w:sz w:val="22"/>
          <w:szCs w:val="22"/>
        </w:rPr>
        <w:t>FICHA 308</w:t>
      </w:r>
    </w:p>
    <w:p w14:paraId="3A5A67C3">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10.305.0034.2038.00004.4.90.52.00 </w:t>
      </w:r>
    </w:p>
    <w:p w14:paraId="1F496D9B">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bookmarkEnd w:id="8"/>
    </w:p>
    <w:p w14:paraId="3F70B095">
      <w:pPr>
        <w:spacing w:line="360" w:lineRule="auto"/>
        <w:ind w:right="-708"/>
        <w:jc w:val="both"/>
        <w:rPr>
          <w:rFonts w:ascii="Arial" w:hAnsi="Arial" w:eastAsia="Arial-BoldMT" w:cs="Arial"/>
          <w:b/>
          <w:bCs/>
          <w:sz w:val="24"/>
          <w:szCs w:val="24"/>
        </w:rPr>
      </w:pPr>
    </w:p>
    <w:p w14:paraId="6DD7D8F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2BBB2611">
      <w:pPr>
        <w:spacing w:line="360" w:lineRule="auto"/>
        <w:ind w:left="-567" w:right="-708" w:firstLine="709"/>
        <w:jc w:val="both"/>
        <w:rPr>
          <w:rFonts w:ascii="Arial" w:hAnsi="Arial" w:eastAsia="Arial-BoldMT" w:cs="Arial"/>
          <w:b/>
          <w:bCs/>
          <w:sz w:val="24"/>
          <w:szCs w:val="24"/>
        </w:rPr>
      </w:pPr>
    </w:p>
    <w:p w14:paraId="33EBC43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 equipamento a ser adquirido deverão atender rigorosamente às especificações técnicas padronizadas, conforme catálogos eletrônicos de referência do órgão público ou normas técnicas aplicáveis, garantindo qualidade certificada por órgãos competentes como ANVISA e INMETRO. </w:t>
      </w:r>
    </w:p>
    <w:p w14:paraId="6DD6E4E8">
      <w:pPr>
        <w:spacing w:line="360" w:lineRule="auto"/>
        <w:ind w:right="-708"/>
        <w:jc w:val="both"/>
        <w:rPr>
          <w:rFonts w:ascii="Arial" w:hAnsi="Arial" w:eastAsia="Arial-BoldMT" w:cs="Arial"/>
          <w:sz w:val="24"/>
          <w:szCs w:val="24"/>
        </w:rPr>
      </w:pPr>
    </w:p>
    <w:p w14:paraId="5403BA6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54FAA739">
      <w:pPr>
        <w:spacing w:line="360" w:lineRule="auto"/>
        <w:ind w:left="-567" w:right="-708" w:firstLine="709"/>
        <w:jc w:val="both"/>
        <w:rPr>
          <w:rFonts w:ascii="Arial" w:hAnsi="Arial" w:eastAsia="Arial-BoldMT" w:cs="Arial"/>
          <w:sz w:val="24"/>
          <w:szCs w:val="24"/>
        </w:rPr>
      </w:pPr>
    </w:p>
    <w:p w14:paraId="532097D6">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072321FA">
      <w:pPr>
        <w:spacing w:line="360" w:lineRule="auto"/>
        <w:ind w:left="-567" w:right="-428" w:firstLine="709"/>
        <w:jc w:val="both"/>
        <w:rPr>
          <w:rFonts w:ascii="Arial" w:hAnsi="Arial" w:eastAsia="Arial-BoldMT" w:cs="Arial"/>
          <w:b/>
          <w:bCs/>
          <w:sz w:val="24"/>
          <w:szCs w:val="24"/>
        </w:rPr>
      </w:pPr>
    </w:p>
    <w:p w14:paraId="4A89CEBC">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UBS dr. Cleomar Borges de Oliveira </w:t>
      </w:r>
      <w:r>
        <w:rPr>
          <w:rFonts w:ascii="Arial" w:hAnsi="Arial" w:eastAsia="Arial-BoldMT" w:cs="Arial"/>
          <w:sz w:val="24"/>
          <w:szCs w:val="24"/>
        </w:rPr>
        <w:t>em até 15 dias após a emissão do pedido de compra</w:t>
      </w:r>
    </w:p>
    <w:p w14:paraId="358EFDAB">
      <w:pPr>
        <w:spacing w:line="360" w:lineRule="auto"/>
        <w:ind w:left="-567" w:right="-708" w:firstLine="709"/>
        <w:jc w:val="both"/>
        <w:rPr>
          <w:rFonts w:ascii="Arial" w:hAnsi="Arial" w:eastAsia="Arial-BoldMT" w:cs="Arial"/>
          <w:sz w:val="24"/>
          <w:szCs w:val="24"/>
        </w:rPr>
      </w:pPr>
    </w:p>
    <w:p w14:paraId="0C606F1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6D09EAEB">
      <w:pPr>
        <w:spacing w:line="360" w:lineRule="auto"/>
        <w:ind w:left="-567" w:right="-708" w:firstLine="709"/>
        <w:jc w:val="both"/>
        <w:rPr>
          <w:rFonts w:ascii="Arial" w:hAnsi="Arial" w:eastAsia="Arial-BoldMT" w:cs="Arial"/>
          <w:b/>
          <w:bCs/>
          <w:sz w:val="24"/>
          <w:szCs w:val="24"/>
        </w:rPr>
      </w:pPr>
    </w:p>
    <w:p w14:paraId="2FE6F90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equipamento deverá contar com garantia contratual mínima de 12 (doze) meses, contados a partir da data de aceitação final pelo contratante, cobrindo todos os componentes contra defeitos de fabricação e mau funcionamento, com obrigação de substituição imediata de peças ou equipamentos com avarias. O contratado deverá oferecer assistência técnica permanente, incluindo manutenção preventiva semestral e suporte corretivo com tempo máximo de resposta de 24 horas para falhas críticas e 72 horas para demais ocorrências, disponibilizando peças de reposição originais em território nacional durante todo o período de garantia. Adicionalmente, deverá ser fornecido termo de compromisso de continuidade de serviços técnicos pós-garantia, com valores pré-acordados, assegurando a sustentabilidade operacional do equipamento, conforme normas técnicas do fabricante e legislação sanitária vigente.</w:t>
      </w:r>
    </w:p>
    <w:p w14:paraId="792647BF">
      <w:pPr>
        <w:spacing w:line="360" w:lineRule="auto"/>
        <w:ind w:left="-567" w:right="-708" w:firstLine="709"/>
        <w:jc w:val="both"/>
        <w:rPr>
          <w:rFonts w:ascii="Arial" w:hAnsi="Arial" w:eastAsia="Arial-BoldMT" w:cs="Arial"/>
          <w:b/>
          <w:bCs/>
          <w:sz w:val="24"/>
          <w:szCs w:val="24"/>
        </w:rPr>
      </w:pPr>
    </w:p>
    <w:p w14:paraId="0523050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75B19B9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3373D30A">
      <w:pPr>
        <w:spacing w:line="360" w:lineRule="auto"/>
        <w:ind w:left="-567" w:right="-708" w:firstLine="709"/>
        <w:jc w:val="both"/>
        <w:rPr>
          <w:rFonts w:ascii="Arial" w:hAnsi="Arial" w:eastAsia="Arial-BoldMT" w:cs="Arial"/>
          <w:sz w:val="24"/>
          <w:szCs w:val="24"/>
        </w:rPr>
      </w:pPr>
    </w:p>
    <w:p w14:paraId="1CDB6AE9">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77B1CA13">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Saúde de Rifaina</w:t>
      </w:r>
    </w:p>
    <w:p w14:paraId="447C8225">
      <w:pPr>
        <w:spacing w:line="360" w:lineRule="auto"/>
        <w:ind w:left="-567" w:right="-708" w:firstLine="709"/>
        <w:jc w:val="both"/>
        <w:rPr>
          <w:rFonts w:ascii="Arial" w:hAnsi="Arial" w:cs="Arial"/>
          <w:sz w:val="24"/>
          <w:szCs w:val="24"/>
        </w:rPr>
      </w:pPr>
    </w:p>
    <w:p w14:paraId="03096602">
      <w:pPr>
        <w:spacing w:line="360" w:lineRule="auto"/>
        <w:ind w:left="-567" w:right="-708" w:firstLine="709"/>
        <w:jc w:val="both"/>
        <w:rPr>
          <w:rFonts w:ascii="Arial" w:hAnsi="Arial" w:cs="Arial"/>
          <w:sz w:val="24"/>
          <w:szCs w:val="24"/>
        </w:rPr>
      </w:pPr>
    </w:p>
    <w:p w14:paraId="6F6574A1">
      <w:pPr>
        <w:spacing w:line="360" w:lineRule="auto"/>
        <w:ind w:left="-567" w:right="-708" w:firstLine="709"/>
        <w:jc w:val="both"/>
        <w:rPr>
          <w:rFonts w:ascii="Arial" w:hAnsi="Arial" w:cs="Arial"/>
          <w:sz w:val="24"/>
          <w:szCs w:val="24"/>
        </w:rPr>
      </w:pPr>
      <w:r>
        <w:rPr>
          <w:rFonts w:ascii="Arial" w:hAnsi="Arial" w:cs="Arial"/>
          <w:sz w:val="24"/>
          <w:szCs w:val="24"/>
        </w:rPr>
        <w:t>Rifaina, 08 de abril de 2025.</w:t>
      </w:r>
    </w:p>
    <w:p w14:paraId="7518C334">
      <w:pPr>
        <w:spacing w:line="360" w:lineRule="auto"/>
        <w:ind w:right="-708"/>
        <w:jc w:val="both"/>
        <w:rPr>
          <w:rFonts w:ascii="Arial" w:hAnsi="Arial" w:cs="Arial"/>
          <w:sz w:val="24"/>
          <w:szCs w:val="24"/>
        </w:rPr>
      </w:pPr>
    </w:p>
    <w:p w14:paraId="16CA86D8">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2A5CF5BC">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228CC327">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0E761700">
      <w:pPr>
        <w:ind w:right="-708"/>
        <w:jc w:val="both"/>
        <w:rPr>
          <w:rFonts w:ascii="Arial" w:hAnsi="Arial" w:cs="Arial"/>
          <w:sz w:val="24"/>
          <w:szCs w:val="24"/>
        </w:rPr>
      </w:pPr>
    </w:p>
    <w:p w14:paraId="366D8522">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1D777441">
      <w:pPr>
        <w:spacing w:line="360" w:lineRule="auto"/>
        <w:ind w:left="-567" w:right="-708" w:firstLine="709"/>
        <w:jc w:val="both"/>
        <w:rPr>
          <w:rFonts w:ascii="Arial" w:hAnsi="Arial" w:cs="Arial"/>
          <w:sz w:val="24"/>
          <w:szCs w:val="24"/>
        </w:rPr>
      </w:pPr>
      <w:r>
        <w:rPr>
          <w:rFonts w:ascii="Arial" w:hAnsi="Arial" w:eastAsia="Arial-BoldMT" w:cs="Arial"/>
          <w:sz w:val="24"/>
          <w:szCs w:val="24"/>
        </w:rPr>
        <w:t>Alysson Silva Gonçalves</w:t>
      </w:r>
      <w:r>
        <w:rPr>
          <w:rFonts w:ascii="Arial" w:hAnsi="Arial" w:cs="Arial"/>
          <w:sz w:val="24"/>
          <w:szCs w:val="24"/>
        </w:rPr>
        <w:t xml:space="preserve"> </w:t>
      </w:r>
    </w:p>
    <w:p w14:paraId="232859A2">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7B4BF13C">
      <w:pPr>
        <w:ind w:left="-567" w:right="-708" w:firstLine="709"/>
        <w:jc w:val="both"/>
        <w:rPr>
          <w:rFonts w:ascii="Arial" w:hAnsi="Arial" w:cs="Arial"/>
          <w:sz w:val="24"/>
          <w:szCs w:val="24"/>
        </w:rPr>
      </w:pPr>
    </w:p>
    <w:p w14:paraId="0E78F3EB">
      <w:pPr>
        <w:pStyle w:val="17"/>
        <w:jc w:val="both"/>
        <w:rPr>
          <w:rFonts w:ascii="Arial Narrow" w:hAnsi="Arial Narrow" w:cstheme="minorHAnsi"/>
          <w:sz w:val="20"/>
          <w:szCs w:val="20"/>
        </w:rPr>
      </w:pPr>
    </w:p>
    <w:p w14:paraId="773E17AA">
      <w:pPr>
        <w:spacing w:line="276" w:lineRule="auto"/>
        <w:ind w:right="-2"/>
        <w:rPr>
          <w:rFonts w:ascii="Arial" w:hAnsi="Arial" w:eastAsia="Arial-BoldMT" w:cs="Arial"/>
          <w:sz w:val="24"/>
          <w:szCs w:val="24"/>
        </w:rPr>
      </w:pPr>
    </w:p>
    <w:p w14:paraId="2D644038">
      <w:pPr>
        <w:spacing w:line="276" w:lineRule="auto"/>
        <w:ind w:right="-2"/>
        <w:rPr>
          <w:rFonts w:ascii="Arial" w:hAnsi="Arial" w:eastAsia="Arial-BoldMT"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60</w:t>
      </w:r>
      <w:r>
        <w:rPr>
          <w:b/>
          <w:bCs/>
        </w:rPr>
        <w:t>/2025 PROCESSO ADM N°1</w:t>
      </w:r>
      <w:r>
        <w:rPr>
          <w:rFonts w:hint="default"/>
          <w:b/>
          <w:bCs/>
          <w:lang w:val="pt-BR"/>
        </w:rPr>
        <w:t>58</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4B7C8D8">
      <w:pPr>
        <w:numPr>
          <w:ilvl w:val="0"/>
          <w:numId w:val="12"/>
        </w:numPr>
        <w:ind w:left="284" w:right="23" w:hanging="284"/>
        <w:jc w:val="both"/>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21C2537B">
      <w:pPr>
        <w:spacing w:line="360" w:lineRule="auto"/>
        <w:jc w:val="both"/>
        <w:rPr>
          <w:rFonts w:hint="default" w:ascii="Arial" w:hAnsi="Arial" w:cs="Arial"/>
          <w:bCs/>
          <w:sz w:val="24"/>
          <w:szCs w:val="24"/>
          <w:highlight w:val="yellow"/>
          <w:lang w:val="pt-BR"/>
        </w:rPr>
      </w:pPr>
    </w:p>
    <w:tbl>
      <w:tblPr>
        <w:tblStyle w:val="11"/>
        <w:tblW w:w="52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056"/>
        <w:gridCol w:w="7925"/>
        <w:gridCol w:w="1149"/>
      </w:tblGrid>
      <w:tr w14:paraId="51BF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0" w:type="pct"/>
          </w:tcPr>
          <w:p w14:paraId="4E2ECE7A">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ITEM</w:t>
            </w:r>
          </w:p>
        </w:tc>
        <w:tc>
          <w:tcPr>
            <w:tcW w:w="482" w:type="pct"/>
          </w:tcPr>
          <w:p w14:paraId="097867BF">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QUANT</w:t>
            </w:r>
          </w:p>
        </w:tc>
        <w:tc>
          <w:tcPr>
            <w:tcW w:w="3621" w:type="pct"/>
          </w:tcPr>
          <w:p w14:paraId="3C13829B">
            <w:pPr>
              <w:spacing w:line="360" w:lineRule="auto"/>
              <w:jc w:val="center"/>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DESCRIÇÃO</w:t>
            </w:r>
          </w:p>
        </w:tc>
        <w:tc>
          <w:tcPr>
            <w:tcW w:w="525" w:type="pct"/>
          </w:tcPr>
          <w:p w14:paraId="4AAF047B">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 xml:space="preserve">VALOR </w:t>
            </w:r>
          </w:p>
        </w:tc>
      </w:tr>
      <w:tr w14:paraId="6CCE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370" w:type="pct"/>
          </w:tcPr>
          <w:p w14:paraId="2A03AF5E">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1</w:t>
            </w:r>
          </w:p>
        </w:tc>
        <w:tc>
          <w:tcPr>
            <w:tcW w:w="482" w:type="pct"/>
          </w:tcPr>
          <w:p w14:paraId="00C1162C">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1</w:t>
            </w:r>
          </w:p>
        </w:tc>
        <w:tc>
          <w:tcPr>
            <w:tcW w:w="3621" w:type="pct"/>
          </w:tcPr>
          <w:p w14:paraId="7D5765A3">
            <w:pPr>
              <w:spacing w:line="360" w:lineRule="auto"/>
              <w:jc w:val="both"/>
              <w:rPr>
                <w:rFonts w:hint="default" w:ascii="Arial" w:hAnsi="Arial" w:cs="Arial"/>
                <w:bCs/>
                <w:sz w:val="24"/>
                <w:szCs w:val="24"/>
                <w:highlight w:val="yellow"/>
                <w:vertAlign w:val="baseline"/>
                <w:lang w:val="pt-BR"/>
              </w:rPr>
            </w:pPr>
            <w:r>
              <w:rPr>
                <w:rFonts w:ascii="Aptos Narrow" w:hAnsi="Aptos Narrow"/>
                <w:color w:val="000000"/>
                <w:sz w:val="22"/>
                <w:szCs w:val="22"/>
                <w:lang w:eastAsia="pt-BR"/>
              </w:rPr>
              <w:t>Termonebulizador portátil, motor pulso jato de alto desempenho, a gasolina, potência aparente de 24 cv (17,5 kw). Sistema de partida através de acionamento de botão de partida, sem necessidade de pressurização manual prévia, ignição eletrônica 12v com bat - Termonebulizador portátil, motor pulso jato de alto desempenho, a gasolina, potência aparente de 24 cv (17,5 kw). Sistema de partida através de acionamento de botão de partida, sem necessidade de pressurização manual prévia, ignição eletrônica 12v com bateria selada e carregador inteligente bi volt, com 4 funções simultâneas. Câmara de combustão em aço inox refratário, volume entre 250 e 300 cm. Sistema de nebulização. Consumo de combustível de 1,5 a 2,0 litros por hora. Chassis em chapa de aço carbono, tratado com pintura a pó (eletrostática). Tanques em polietileno transparente, de formulação: 8 a 10l e combustível: 1,8 a 2 l. Desempenho com fog normal: vazão máxima de 30 litros por hora, para fog seco (óleo mineral). Espectro de gotas entre 1 e 25 um dmv. Peso vazio aproximado: 10,0 kg. Acessórios: alça de transporte, jogo de bicos dosadores, kit para limpeza e abastecimento, manual e/ou boletim técnico em português onde consiste especificação completa e instruções para utilização do equipamento.</w:t>
            </w:r>
          </w:p>
        </w:tc>
        <w:tc>
          <w:tcPr>
            <w:tcW w:w="525" w:type="pct"/>
          </w:tcPr>
          <w:p w14:paraId="4CA58936">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R$</w:t>
            </w:r>
          </w:p>
        </w:tc>
      </w:tr>
    </w:tbl>
    <w:p w14:paraId="18C79F30">
      <w:pPr>
        <w:spacing w:line="360" w:lineRule="auto"/>
        <w:jc w:val="both"/>
        <w:rPr>
          <w:rFonts w:hint="default" w:ascii="Arial" w:hAnsi="Arial" w:cs="Arial"/>
          <w:bCs/>
          <w:sz w:val="24"/>
          <w:szCs w:val="24"/>
          <w:highlight w:val="yellow"/>
          <w:lang w:val="pt-BR"/>
        </w:rPr>
      </w:pPr>
    </w:p>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3908F48E">
      <w:pPr>
        <w:spacing w:line="360" w:lineRule="auto"/>
        <w:jc w:val="both"/>
        <w:rPr>
          <w:rFonts w:hint="default" w:ascii="Arial" w:hAnsi="Arial" w:cs="Arial"/>
          <w:bCs/>
          <w:sz w:val="24"/>
          <w:szCs w:val="24"/>
          <w:highlight w:val="yellow"/>
          <w:lang w:val="pt-BR"/>
        </w:rPr>
      </w:pPr>
    </w:p>
    <w:p w14:paraId="256DC6D7">
      <w:pPr>
        <w:jc w:val="center"/>
        <w:rPr>
          <w:rFonts w:ascii="Arial" w:hAnsi="Arial" w:cs="Arial"/>
          <w:b/>
          <w:sz w:val="24"/>
          <w:szCs w:val="24"/>
        </w:rPr>
      </w:pPr>
    </w:p>
    <w:p w14:paraId="4ED2FC8B">
      <w:pPr>
        <w:pStyle w:val="7"/>
        <w:jc w:val="both"/>
        <w:rPr>
          <w:rFonts w:hint="default"/>
          <w:b/>
          <w:bCs/>
          <w:w w:val="110"/>
          <w:lang w:val="pt-BR"/>
        </w:rPr>
      </w:pPr>
      <w:r>
        <w:rPr>
          <w:b/>
          <w:bCs/>
        </w:rPr>
        <w:t>OBJETO :</w:t>
      </w:r>
      <w:r>
        <w:rPr>
          <w:w w:val="110"/>
        </w:rPr>
        <w:t xml:space="preserve"> </w:t>
      </w:r>
      <w:r>
        <w:rPr>
          <w:rFonts w:hint="default"/>
          <w:b/>
          <w:bCs/>
          <w:w w:val="110"/>
          <w:lang w:val="pt-BR"/>
        </w:rPr>
        <w:t>REFERENTE A AQUISIÇÃO DE UM TERMONEBULIZADOR PARA O SETOR DE VIGILÂNCIA SANITÁRIA</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6E3BDD37">
      <w:pPr>
        <w:pStyle w:val="17"/>
        <w:jc w:val="center"/>
        <w:rPr>
          <w:rFonts w:ascii="Calibri Light" w:hAnsi="Calibri Light" w:cs="Calibri Light"/>
          <w:b/>
          <w:bCs/>
          <w:sz w:val="20"/>
          <w:szCs w:val="20"/>
        </w:rPr>
      </w:pPr>
    </w:p>
    <w:p w14:paraId="009C2060">
      <w:pPr>
        <w:pStyle w:val="17"/>
        <w:jc w:val="center"/>
        <w:rPr>
          <w:rFonts w:ascii="Calibri Light" w:hAnsi="Calibri Light" w:cs="Calibri Light"/>
          <w:b/>
          <w:bCs/>
          <w:sz w:val="20"/>
          <w:szCs w:val="20"/>
        </w:rPr>
      </w:pPr>
    </w:p>
    <w:p w14:paraId="2C36A995">
      <w:pPr>
        <w:pStyle w:val="17"/>
        <w:jc w:val="center"/>
        <w:rPr>
          <w:rFonts w:ascii="Calibri Light" w:hAnsi="Calibri Light" w:cs="Calibri Light"/>
          <w:b/>
          <w:bCs/>
          <w:sz w:val="20"/>
          <w:szCs w:val="20"/>
        </w:rPr>
      </w:pPr>
    </w:p>
    <w:p w14:paraId="7105CC4B">
      <w:pPr>
        <w:pStyle w:val="17"/>
        <w:jc w:val="center"/>
        <w:rPr>
          <w:rFonts w:ascii="Calibri Light" w:hAnsi="Calibri Light" w:cs="Calibri Light"/>
          <w:b/>
          <w:bCs/>
          <w:sz w:val="20"/>
          <w:szCs w:val="20"/>
        </w:rPr>
      </w:pPr>
    </w:p>
    <w:p w14:paraId="4BECFB12">
      <w:pPr>
        <w:pStyle w:val="17"/>
        <w:jc w:val="center"/>
        <w:rPr>
          <w:rFonts w:ascii="Calibri Light" w:hAnsi="Calibri Light" w:cs="Calibri Light"/>
          <w:b/>
          <w:bCs/>
          <w:sz w:val="20"/>
          <w:szCs w:val="20"/>
        </w:rPr>
      </w:pPr>
    </w:p>
    <w:p w14:paraId="7BE8A0A3">
      <w:pPr>
        <w:pStyle w:val="17"/>
        <w:jc w:val="center"/>
        <w:rPr>
          <w:rFonts w:ascii="Calibri Light" w:hAnsi="Calibri Light" w:cs="Calibri Light"/>
          <w:b/>
          <w:bCs/>
          <w:sz w:val="20"/>
          <w:szCs w:val="20"/>
        </w:rPr>
      </w:pPr>
    </w:p>
    <w:p w14:paraId="46A842D8">
      <w:pPr>
        <w:pStyle w:val="17"/>
        <w:jc w:val="center"/>
        <w:rPr>
          <w:rFonts w:ascii="Calibri Light" w:hAnsi="Calibri Light" w:cs="Calibri Light"/>
          <w:b/>
          <w:bCs/>
          <w:sz w:val="20"/>
          <w:szCs w:val="20"/>
        </w:rPr>
      </w:pPr>
    </w:p>
    <w:p w14:paraId="0E3E854E">
      <w:pPr>
        <w:pStyle w:val="17"/>
        <w:jc w:val="center"/>
        <w:rPr>
          <w:rFonts w:ascii="Calibri Light" w:hAnsi="Calibri Light" w:cs="Calibri Light"/>
          <w:b/>
          <w:bCs/>
          <w:sz w:val="20"/>
          <w:szCs w:val="20"/>
        </w:rPr>
      </w:pPr>
    </w:p>
    <w:p w14:paraId="2F280C82">
      <w:pPr>
        <w:pStyle w:val="17"/>
        <w:jc w:val="center"/>
        <w:rPr>
          <w:rFonts w:ascii="Calibri Light" w:hAnsi="Calibri Light" w:cs="Calibri Light"/>
          <w:b/>
          <w:bCs/>
          <w:sz w:val="20"/>
          <w:szCs w:val="20"/>
        </w:rPr>
      </w:pPr>
    </w:p>
    <w:p w14:paraId="04C0EBC5">
      <w:pPr>
        <w:pStyle w:val="17"/>
        <w:jc w:val="center"/>
        <w:rPr>
          <w:rFonts w:ascii="Calibri Light" w:hAnsi="Calibri Light" w:cs="Calibri Light"/>
          <w:b/>
          <w:bCs/>
          <w:sz w:val="20"/>
          <w:szCs w:val="20"/>
        </w:rPr>
      </w:pPr>
    </w:p>
    <w:p w14:paraId="2DCD0009">
      <w:pPr>
        <w:pStyle w:val="17"/>
        <w:jc w:val="center"/>
        <w:rPr>
          <w:rFonts w:ascii="Calibri Light" w:hAnsi="Calibri Light" w:cs="Calibri Light"/>
          <w:b/>
          <w:bCs/>
          <w:sz w:val="20"/>
          <w:szCs w:val="20"/>
        </w:rPr>
      </w:pPr>
    </w:p>
    <w:p w14:paraId="5AF525EC">
      <w:pPr>
        <w:pStyle w:val="17"/>
        <w:jc w:val="center"/>
        <w:rPr>
          <w:rFonts w:ascii="Calibri Light" w:hAnsi="Calibri Light" w:cs="Calibri Light"/>
          <w:b/>
          <w:bCs/>
          <w:sz w:val="20"/>
          <w:szCs w:val="20"/>
        </w:rPr>
      </w:pPr>
    </w:p>
    <w:p w14:paraId="361C02F8">
      <w:pPr>
        <w:pStyle w:val="17"/>
        <w:jc w:val="center"/>
        <w:rPr>
          <w:rFonts w:ascii="Calibri Light" w:hAnsi="Calibri Light" w:cs="Calibri Light"/>
          <w:b/>
          <w:bCs/>
          <w:sz w:val="20"/>
          <w:szCs w:val="20"/>
        </w:rPr>
      </w:pPr>
    </w:p>
    <w:p w14:paraId="06CDAA03">
      <w:pPr>
        <w:pStyle w:val="17"/>
        <w:jc w:val="center"/>
        <w:rPr>
          <w:rFonts w:ascii="Calibri Light" w:hAnsi="Calibri Light" w:cs="Calibri Light"/>
          <w:b/>
          <w:bCs/>
          <w:sz w:val="20"/>
          <w:szCs w:val="20"/>
        </w:rPr>
      </w:pPr>
    </w:p>
    <w:p w14:paraId="48D53482">
      <w:pPr>
        <w:pStyle w:val="17"/>
        <w:jc w:val="center"/>
        <w:rPr>
          <w:rFonts w:ascii="Calibri Light" w:hAnsi="Calibri Light" w:cs="Calibri Light"/>
          <w:b/>
          <w:bCs/>
          <w:sz w:val="20"/>
          <w:szCs w:val="20"/>
        </w:rPr>
      </w:pPr>
    </w:p>
    <w:p w14:paraId="3094CF5F">
      <w:pPr>
        <w:pStyle w:val="17"/>
        <w:jc w:val="center"/>
        <w:rPr>
          <w:rFonts w:ascii="Calibri Light" w:hAnsi="Calibri Light" w:cs="Calibri Light"/>
          <w:b/>
          <w:bCs/>
          <w:sz w:val="20"/>
          <w:szCs w:val="20"/>
        </w:rPr>
      </w:pPr>
    </w:p>
    <w:p w14:paraId="38FC886B">
      <w:pPr>
        <w:pStyle w:val="17"/>
        <w:jc w:val="center"/>
        <w:rPr>
          <w:rFonts w:ascii="Calibri Light" w:hAnsi="Calibri Light" w:cs="Calibri Light"/>
          <w:b/>
          <w:bCs/>
          <w:sz w:val="20"/>
          <w:szCs w:val="20"/>
        </w:rPr>
      </w:pPr>
    </w:p>
    <w:p w14:paraId="20A7C429">
      <w:pPr>
        <w:pStyle w:val="17"/>
        <w:jc w:val="center"/>
        <w:rPr>
          <w:rFonts w:ascii="Calibri Light" w:hAnsi="Calibri Light" w:cs="Calibri Light"/>
          <w:b/>
          <w:bCs/>
          <w:sz w:val="20"/>
          <w:szCs w:val="20"/>
        </w:rPr>
      </w:pPr>
    </w:p>
    <w:p w14:paraId="135A4BCE">
      <w:pPr>
        <w:pStyle w:val="17"/>
        <w:jc w:val="center"/>
        <w:rPr>
          <w:rFonts w:ascii="Calibri Light" w:hAnsi="Calibri Light" w:cs="Calibri Light"/>
          <w:b/>
          <w:bCs/>
          <w:sz w:val="20"/>
          <w:szCs w:val="20"/>
        </w:rPr>
      </w:pPr>
    </w:p>
    <w:p w14:paraId="7EFB3480">
      <w:pPr>
        <w:pStyle w:val="17"/>
        <w:jc w:val="center"/>
        <w:rPr>
          <w:rFonts w:ascii="Calibri Light" w:hAnsi="Calibri Light" w:cs="Calibri Light"/>
          <w:b/>
          <w:bCs/>
          <w:sz w:val="20"/>
          <w:szCs w:val="20"/>
        </w:rPr>
      </w:pPr>
    </w:p>
    <w:p w14:paraId="4D7276F6">
      <w:pPr>
        <w:pStyle w:val="17"/>
        <w:jc w:val="center"/>
        <w:rPr>
          <w:rFonts w:ascii="Calibri Light" w:hAnsi="Calibri Light" w:cs="Calibri Light"/>
          <w:b/>
          <w:bCs/>
          <w:sz w:val="20"/>
          <w:szCs w:val="20"/>
        </w:rPr>
      </w:pPr>
    </w:p>
    <w:p w14:paraId="42175494">
      <w:pPr>
        <w:pStyle w:val="17"/>
        <w:jc w:val="center"/>
        <w:rPr>
          <w:rFonts w:ascii="Calibri Light" w:hAnsi="Calibri Light" w:cs="Calibri Light"/>
          <w:b/>
          <w:bCs/>
          <w:sz w:val="20"/>
          <w:szCs w:val="20"/>
        </w:rPr>
      </w:pPr>
    </w:p>
    <w:p w14:paraId="6829DD2B">
      <w:pPr>
        <w:pStyle w:val="17"/>
        <w:jc w:val="both"/>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9"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9"/>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5"/>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7"/>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8"/>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9"/>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9"/>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9"/>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9"/>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9"/>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8"/>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10" w:name="_Hlk162823156"/>
    <w:r>
      <w:rPr>
        <w:b/>
        <w:bCs/>
        <w:sz w:val="18"/>
      </w:rPr>
      <w:t>Rua Barão de Rifaina nº 251 – CEP 14.490-000 – Centro - Rifaina-SP – Tel. (16) 3135 9500</w:t>
    </w:r>
  </w:p>
  <w:bookmarkEnd w:id="10"/>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9">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2"/>
  </w:num>
  <w:num w:numId="4">
    <w:abstractNumId w:val="1"/>
  </w:num>
  <w:num w:numId="5">
    <w:abstractNumId w:val="4"/>
  </w:num>
  <w:num w:numId="6">
    <w:abstractNumId w:val="14"/>
  </w:num>
  <w:num w:numId="7">
    <w:abstractNumId w:val="3"/>
  </w:num>
  <w:num w:numId="8">
    <w:abstractNumId w:val="19"/>
  </w:num>
  <w:num w:numId="9">
    <w:abstractNumId w:val="15"/>
  </w:num>
  <w:num w:numId="10">
    <w:abstractNumId w:val="11"/>
  </w:num>
  <w:num w:numId="11">
    <w:abstractNumId w:val="16"/>
  </w:num>
  <w:num w:numId="12">
    <w:abstractNumId w:val="9"/>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298B7420"/>
    <w:rsid w:val="44F74CC8"/>
    <w:rsid w:val="6F8B4C7B"/>
    <w:rsid w:val="72C139D8"/>
    <w:rsid w:val="746304A6"/>
    <w:rsid w:val="77E54539"/>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13245</Words>
  <Characters>71524</Characters>
  <Lines>596</Lines>
  <Paragraphs>169</Paragraphs>
  <TotalTime>7</TotalTime>
  <ScaleCrop>false</ScaleCrop>
  <LinksUpToDate>false</LinksUpToDate>
  <CharactersWithSpaces>84600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2025-02-13T18:09:00Z</cp:lastPrinted>
  <dcterms:modified xsi:type="dcterms:W3CDTF">2025-04-15T12:21:55Z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2B4AA1B62B0F416C923982DFF204B877_13</vt:lpwstr>
  </property>
</Properties>
</file>