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434</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345</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31 de Outubro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05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06</w:t>
      </w:r>
      <w:r>
        <w:rPr>
          <w:rFonts w:ascii="Calibri Light" w:hAnsi="Calibri Light" w:cs="Calibri Light"/>
          <w:b/>
        </w:rPr>
        <w:t>/</w:t>
      </w:r>
      <w:r>
        <w:rPr>
          <w:rFonts w:hint="default" w:ascii="Calibri Light" w:hAnsi="Calibri Light" w:cs="Calibri Light"/>
          <w:b/>
          <w:lang w:val="pt-BR"/>
        </w:rPr>
        <w:t>11</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bookmarkStart w:id="9" w:name="_GoBack"/>
      <w:r>
        <w:rPr>
          <w:rFonts w:hint="default" w:ascii="Arial" w:hAnsi="Arial" w:cs="Arial"/>
          <w:b/>
          <w:bCs/>
          <w:sz w:val="20"/>
          <w:szCs w:val="20"/>
          <w:lang w:val="pt-BR"/>
        </w:rPr>
        <w:t>Referente a aquisição de mudas de árvores espécies nativas do cerrado e floresta estacional semidecidual para plantio referente a compensação ambiental.</w:t>
      </w:r>
      <w:bookmarkEnd w:id="9"/>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661FDD6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 14 Secretaria Municipal de Meio Ambiente</w:t>
      </w:r>
    </w:p>
    <w:p w14:paraId="26B59357">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021 401 Meio Ambiente</w:t>
      </w:r>
    </w:p>
    <w:p w14:paraId="56F7049F">
      <w:pPr>
        <w:numPr>
          <w:ilvl w:val="0"/>
          <w:numId w:val="0"/>
        </w:numPr>
        <w:rPr>
          <w:rFonts w:hint="default" w:ascii="Arial" w:hAnsi="Arial" w:eastAsia="SimSun" w:cs="Arial"/>
          <w:sz w:val="20"/>
          <w:szCs w:val="20"/>
          <w:lang w:val="pt-BR"/>
        </w:rPr>
      </w:pPr>
      <w:r>
        <w:rPr>
          <w:rFonts w:hint="default" w:ascii="Arial" w:hAnsi="Arial" w:eastAsia="SimSun" w:cs="Arial"/>
          <w:sz w:val="20"/>
          <w:szCs w:val="20"/>
          <w:lang w:val="pt-BR"/>
        </w:rPr>
        <w:t>18 541 0019 2025 0000 Manutenção das Atividades de reservação Ambiental</w:t>
      </w:r>
    </w:p>
    <w:p w14:paraId="23B15613">
      <w:pPr>
        <w:numPr>
          <w:ilvl w:val="0"/>
          <w:numId w:val="0"/>
        </w:numPr>
        <w:rPr>
          <w:rFonts w:hint="default" w:ascii="Arial" w:hAnsi="Arial" w:cs="Arial"/>
          <w:sz w:val="20"/>
          <w:szCs w:val="20"/>
          <w:lang w:val="pt-BR"/>
        </w:rPr>
      </w:pPr>
      <w:r>
        <w:rPr>
          <w:rFonts w:hint="default" w:ascii="Arial" w:hAnsi="Arial" w:eastAsia="SimSun" w:cs="Arial"/>
          <w:sz w:val="20"/>
          <w:szCs w:val="20"/>
          <w:lang w:val="pt-BR"/>
        </w:rPr>
        <w:t>3 3 90 39 00 Outros Serviços de Terceiros - Pessoa jurídica</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24.850,00 </w:t>
      </w:r>
      <w:r>
        <w:rPr>
          <w:rFonts w:hint="default" w:cs="Arial" w:asciiTheme="majorAscii" w:hAnsiTheme="majorAscii"/>
          <w:sz w:val="20"/>
          <w:szCs w:val="20"/>
        </w:rPr>
        <w:t>(</w:t>
      </w:r>
      <w:r>
        <w:rPr>
          <w:rFonts w:hint="default" w:cs="Arial" w:asciiTheme="majorAscii" w:hAnsiTheme="majorAscii"/>
          <w:sz w:val="20"/>
          <w:szCs w:val="20"/>
          <w:lang w:val="pt-BR"/>
        </w:rPr>
        <w:t>Vinte e Quatro Mil, Oitocentos e Cinquenta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05</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30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00000001">
      <w:pPr>
        <w:spacing w:before="240" w:after="240"/>
        <w:jc w:val="center"/>
        <w:rPr>
          <w:b/>
          <w:sz w:val="24"/>
          <w:szCs w:val="24"/>
        </w:rPr>
      </w:pPr>
      <w:r>
        <w:rPr>
          <w:b/>
          <w:sz w:val="24"/>
          <w:szCs w:val="24"/>
          <w:rtl w:val="0"/>
        </w:rPr>
        <w:t>TERMO DE REFERÊNCIA</w:t>
      </w:r>
    </w:p>
    <w:p w14:paraId="00000002">
      <w:pPr>
        <w:spacing w:before="240" w:after="240"/>
        <w:jc w:val="center"/>
        <w:rPr>
          <w:b/>
          <w:sz w:val="24"/>
          <w:szCs w:val="24"/>
        </w:rPr>
      </w:pPr>
    </w:p>
    <w:p w14:paraId="00000003">
      <w:pPr>
        <w:spacing w:before="240" w:after="240"/>
        <w:jc w:val="both"/>
        <w:rPr>
          <w:sz w:val="24"/>
          <w:szCs w:val="24"/>
        </w:rPr>
      </w:pPr>
      <w:r>
        <w:rPr>
          <w:b/>
          <w:sz w:val="24"/>
          <w:szCs w:val="24"/>
          <w:rtl w:val="0"/>
        </w:rPr>
        <w:t>UNIDADE SOLICITANTE</w:t>
      </w:r>
      <w:r>
        <w:rPr>
          <w:sz w:val="24"/>
          <w:szCs w:val="24"/>
          <w:rtl w:val="0"/>
        </w:rPr>
        <w:t>:   Secretaria do Meio Ambiente</w:t>
      </w:r>
      <w:r>
        <w:rPr>
          <w:sz w:val="24"/>
          <w:szCs w:val="24"/>
          <w:rtl w:val="0"/>
        </w:rPr>
        <w:br w:type="textWrapping"/>
      </w:r>
      <w:r>
        <w:rPr>
          <w:b/>
          <w:sz w:val="24"/>
          <w:szCs w:val="24"/>
          <w:rtl w:val="0"/>
        </w:rPr>
        <w:t>AGENTE RESPONSÁVEL</w:t>
      </w:r>
      <w:r>
        <w:rPr>
          <w:sz w:val="24"/>
          <w:szCs w:val="24"/>
          <w:rtl w:val="0"/>
        </w:rPr>
        <w:t>: Felipe Baraldi Santiago de Araujo</w:t>
      </w:r>
    </w:p>
    <w:p w14:paraId="00000004">
      <w:pPr>
        <w:pStyle w:val="4"/>
        <w:keepNext w:val="0"/>
        <w:keepLines w:val="0"/>
        <w:spacing w:before="280"/>
        <w:jc w:val="both"/>
        <w:rPr>
          <w:b/>
          <w:sz w:val="24"/>
          <w:szCs w:val="24"/>
        </w:rPr>
      </w:pPr>
      <w:bookmarkStart w:id="2" w:name="_f1vx6oyut0v1" w:colFirst="0" w:colLast="0"/>
      <w:bookmarkEnd w:id="2"/>
      <w:r>
        <w:rPr>
          <w:b/>
          <w:color w:val="000000"/>
          <w:sz w:val="24"/>
          <w:szCs w:val="24"/>
          <w:rtl w:val="0"/>
        </w:rPr>
        <w:t>1. OBJETO</w:t>
      </w:r>
    </w:p>
    <w:p w14:paraId="00000005">
      <w:pPr>
        <w:spacing w:before="240" w:after="240"/>
        <w:jc w:val="both"/>
        <w:rPr>
          <w:sz w:val="24"/>
          <w:szCs w:val="24"/>
        </w:rPr>
      </w:pPr>
      <w:r>
        <w:rPr>
          <w:sz w:val="24"/>
          <w:szCs w:val="24"/>
          <w:rtl w:val="0"/>
        </w:rPr>
        <w:t>1.1. Este Termo de Referência visa à aquisição de 700 mudas de espécies nativas do cerrado e da floresta estacional semidecidual para compensação ambiental. A compra visa o plantio de espécies nativas como parte do compromisso de mitigação ambiental em razão de intervenções na vegetação local, conforme Processo nº 000002700338 / 2023 - eAmbiente CETESB.032191/202338.</w:t>
      </w:r>
    </w:p>
    <w:p w14:paraId="00000006">
      <w:pPr>
        <w:spacing w:before="240" w:after="240"/>
        <w:jc w:val="both"/>
        <w:rPr>
          <w:rFonts w:hint="default"/>
          <w:sz w:val="24"/>
          <w:szCs w:val="24"/>
          <w:lang w:val="pt-BR"/>
        </w:rPr>
      </w:pPr>
      <w:r>
        <w:rPr>
          <w:sz w:val="24"/>
          <w:szCs w:val="24"/>
          <w:rtl w:val="0"/>
        </w:rPr>
        <w:t>1.2. As mudas devem ter porte acima de 1,5 metros, com entrega realizada por viveiros licenciados e estarem túrgidas, íntegras, livres de pragas e de doenças, com raízes sem enovelamento, com torrões íntegros e proporcionais ao seu tamanho, em recipiente adequado para transporte e para acomodação das mesmas, seguindo os seguintes quantitativos e características descritas neste Termo de Referência.</w:t>
      </w:r>
      <w:r>
        <w:rPr>
          <w:sz w:val="24"/>
          <w:szCs w:val="24"/>
          <w:rtl w:val="0"/>
        </w:rPr>
        <w:br w:type="textWrapping"/>
      </w:r>
      <w:r>
        <w:rPr>
          <w:sz w:val="24"/>
          <w:szCs w:val="24"/>
          <w:rtl w:val="0"/>
        </w:rPr>
        <w:br w:type="textWrapping"/>
      </w:r>
      <w:r>
        <w:rPr>
          <w:rFonts w:hint="default"/>
          <w:sz w:val="24"/>
          <w:szCs w:val="24"/>
          <w:rtl w:val="0"/>
          <w:lang w:val="pt-BR"/>
        </w:rPr>
        <w:t>Valor total:R$:24.850,00</w:t>
      </w:r>
    </w:p>
    <w:p w14:paraId="00000007">
      <w:pPr>
        <w:pStyle w:val="4"/>
        <w:keepNext w:val="0"/>
        <w:keepLines w:val="0"/>
        <w:spacing w:before="280"/>
        <w:jc w:val="both"/>
        <w:rPr>
          <w:b/>
          <w:sz w:val="24"/>
          <w:szCs w:val="24"/>
        </w:rPr>
      </w:pPr>
      <w:bookmarkStart w:id="3" w:name="_gws8aelo95i" w:colFirst="0" w:colLast="0"/>
      <w:bookmarkEnd w:id="3"/>
      <w:r>
        <w:rPr>
          <w:b/>
          <w:color w:val="000000"/>
          <w:sz w:val="24"/>
          <w:szCs w:val="24"/>
          <w:rtl w:val="0"/>
        </w:rPr>
        <w:t>2. JUSTIFICATIVA E OBJETIVO DA CONTRATAÇÃO</w:t>
      </w:r>
    </w:p>
    <w:p w14:paraId="00000008">
      <w:pPr>
        <w:spacing w:before="240" w:after="240"/>
        <w:jc w:val="both"/>
        <w:rPr>
          <w:sz w:val="24"/>
          <w:szCs w:val="24"/>
        </w:rPr>
      </w:pPr>
      <w:r>
        <w:rPr>
          <w:sz w:val="24"/>
          <w:szCs w:val="24"/>
          <w:rtl w:val="0"/>
        </w:rPr>
        <w:t xml:space="preserve">2.1. A aquisição é necessária para compensar a supressão de 560,21 m² de vegetação nativa, de acordo com o licenciamento ambiental para a ampliação do sistema viário, </w:t>
      </w:r>
      <w:r>
        <w:rPr>
          <w:color w:val="0D0D0D"/>
          <w:sz w:val="24"/>
          <w:szCs w:val="24"/>
          <w:rtl w:val="0"/>
        </w:rPr>
        <w:t>implantação de rotatória na Rua João Batista dos Santos, cruzamento com a Rua Ricieri Cantieri.</w:t>
      </w:r>
      <w:r>
        <w:rPr>
          <w:sz w:val="24"/>
          <w:szCs w:val="24"/>
          <w:rtl w:val="0"/>
        </w:rPr>
        <w:t xml:space="preserve"> Este processo é essencial para minimizar os impactos ambientais e promover a restauração da vegetação nativa.</w:t>
      </w:r>
    </w:p>
    <w:p w14:paraId="00000009">
      <w:pPr>
        <w:pStyle w:val="4"/>
        <w:keepNext w:val="0"/>
        <w:keepLines w:val="0"/>
        <w:spacing w:before="280"/>
        <w:jc w:val="both"/>
        <w:rPr>
          <w:b/>
          <w:sz w:val="24"/>
          <w:szCs w:val="24"/>
        </w:rPr>
      </w:pPr>
      <w:bookmarkStart w:id="4" w:name="_ts7z2l1g0fyk" w:colFirst="0" w:colLast="0"/>
      <w:bookmarkEnd w:id="4"/>
      <w:r>
        <w:rPr>
          <w:b/>
          <w:color w:val="000000"/>
          <w:sz w:val="24"/>
          <w:szCs w:val="24"/>
          <w:rtl w:val="0"/>
        </w:rPr>
        <w:t>3. DESCRIÇÃO DA SOLUÇÃO COMO UM TODO</w:t>
      </w:r>
    </w:p>
    <w:p w14:paraId="0000000A">
      <w:pPr>
        <w:spacing w:before="240" w:after="240"/>
        <w:jc w:val="both"/>
        <w:rPr>
          <w:sz w:val="24"/>
          <w:szCs w:val="24"/>
        </w:rPr>
      </w:pPr>
      <w:r>
        <w:rPr>
          <w:sz w:val="24"/>
          <w:szCs w:val="24"/>
          <w:rtl w:val="0"/>
        </w:rPr>
        <w:t>3.1. Serão adquiridas 700 mudas de espécies nativas, considerando-se uma margem para perdas durante o plantio e adaptação inicial.</w:t>
      </w:r>
    </w:p>
    <w:p w14:paraId="0000000B">
      <w:pPr>
        <w:spacing w:before="240" w:after="240"/>
        <w:jc w:val="both"/>
        <w:rPr>
          <w:sz w:val="24"/>
          <w:szCs w:val="24"/>
        </w:rPr>
      </w:pPr>
      <w:r>
        <w:rPr>
          <w:sz w:val="24"/>
          <w:szCs w:val="24"/>
          <w:rtl w:val="0"/>
        </w:rPr>
        <w:t>3.2. As mudas devem possuir as seguintes características:</w:t>
      </w:r>
    </w:p>
    <w:p w14:paraId="0000000C">
      <w:pPr>
        <w:numPr>
          <w:ilvl w:val="0"/>
          <w:numId w:val="9"/>
        </w:numPr>
        <w:spacing w:before="240" w:after="0" w:afterAutospacing="0"/>
        <w:ind w:left="720" w:hanging="360"/>
        <w:jc w:val="both"/>
        <w:rPr>
          <w:sz w:val="24"/>
          <w:szCs w:val="24"/>
        </w:rPr>
      </w:pPr>
      <w:r>
        <w:rPr>
          <w:sz w:val="24"/>
          <w:szCs w:val="24"/>
          <w:rtl w:val="0"/>
        </w:rPr>
        <w:t>Espécies: Nativas do bioma Cerrado.</w:t>
      </w:r>
    </w:p>
    <w:p w14:paraId="0000000D">
      <w:pPr>
        <w:numPr>
          <w:ilvl w:val="0"/>
          <w:numId w:val="9"/>
        </w:numPr>
        <w:spacing w:before="0" w:beforeAutospacing="0" w:after="0" w:afterAutospacing="0"/>
        <w:ind w:left="720" w:hanging="360"/>
        <w:jc w:val="both"/>
        <w:rPr>
          <w:sz w:val="24"/>
          <w:szCs w:val="24"/>
        </w:rPr>
      </w:pPr>
      <w:r>
        <w:rPr>
          <w:sz w:val="24"/>
          <w:szCs w:val="24"/>
          <w:rtl w:val="0"/>
        </w:rPr>
        <w:t>Porte: Acima de 1 metro.</w:t>
      </w:r>
    </w:p>
    <w:p w14:paraId="0000000E">
      <w:pPr>
        <w:numPr>
          <w:ilvl w:val="0"/>
          <w:numId w:val="9"/>
        </w:numPr>
        <w:spacing w:before="0" w:beforeAutospacing="0" w:after="240"/>
        <w:ind w:left="720" w:hanging="360"/>
        <w:jc w:val="both"/>
        <w:rPr>
          <w:sz w:val="24"/>
          <w:szCs w:val="24"/>
        </w:rPr>
      </w:pPr>
      <w:r>
        <w:rPr>
          <w:sz w:val="24"/>
          <w:szCs w:val="24"/>
          <w:rtl w:val="0"/>
        </w:rPr>
        <w:t>Fornecimento: Viveiros devidamente licenciados para a produção de espécies nativas.</w:t>
      </w:r>
    </w:p>
    <w:p w14:paraId="0000000F">
      <w:pPr>
        <w:pStyle w:val="4"/>
        <w:keepNext w:val="0"/>
        <w:keepLines w:val="0"/>
        <w:spacing w:before="280"/>
        <w:jc w:val="both"/>
        <w:rPr>
          <w:b/>
          <w:sz w:val="24"/>
          <w:szCs w:val="24"/>
        </w:rPr>
      </w:pPr>
      <w:bookmarkStart w:id="5" w:name="_e10nlkkie0ll" w:colFirst="0" w:colLast="0"/>
      <w:bookmarkEnd w:id="5"/>
      <w:r>
        <w:rPr>
          <w:b/>
          <w:color w:val="000000"/>
          <w:sz w:val="24"/>
          <w:szCs w:val="24"/>
          <w:rtl w:val="0"/>
        </w:rPr>
        <w:t>4. REQUISITOS DA CONTRATAÇÃO</w:t>
      </w:r>
    </w:p>
    <w:p w14:paraId="00000010">
      <w:pPr>
        <w:spacing w:before="240" w:after="240"/>
        <w:jc w:val="both"/>
        <w:rPr>
          <w:sz w:val="24"/>
          <w:szCs w:val="24"/>
        </w:rPr>
      </w:pPr>
      <w:r>
        <w:rPr>
          <w:sz w:val="24"/>
          <w:szCs w:val="24"/>
          <w:rtl w:val="0"/>
        </w:rPr>
        <w:t>4.1. A empresa contratada deve comprovar experiência no fornecimento de mudas nativas e estar devidamente licenciada para esta atividade.</w:t>
      </w:r>
    </w:p>
    <w:p w14:paraId="00000011">
      <w:pPr>
        <w:spacing w:before="240" w:after="240"/>
        <w:jc w:val="both"/>
        <w:rPr>
          <w:sz w:val="24"/>
          <w:szCs w:val="24"/>
        </w:rPr>
      </w:pPr>
      <w:r>
        <w:rPr>
          <w:sz w:val="24"/>
          <w:szCs w:val="24"/>
          <w:rtl w:val="0"/>
        </w:rPr>
        <w:t>4.2. É necessário que as mudas estejam em conformidade com os padrões de qualidade para garantir a sobrevivência e o desenvolvimento adequados.</w:t>
      </w:r>
    </w:p>
    <w:p w14:paraId="00000012">
      <w:pPr>
        <w:pStyle w:val="4"/>
        <w:keepNext w:val="0"/>
        <w:keepLines w:val="0"/>
        <w:spacing w:before="280"/>
        <w:jc w:val="both"/>
        <w:rPr>
          <w:b/>
          <w:sz w:val="24"/>
          <w:szCs w:val="24"/>
        </w:rPr>
      </w:pPr>
      <w:bookmarkStart w:id="6" w:name="_vzkh3hi1ajmt" w:colFirst="0" w:colLast="0"/>
      <w:bookmarkEnd w:id="6"/>
      <w:r>
        <w:rPr>
          <w:b/>
          <w:color w:val="000000"/>
          <w:sz w:val="24"/>
          <w:szCs w:val="24"/>
          <w:rtl w:val="0"/>
        </w:rPr>
        <w:t>5. FORMA DE EXECUÇÃO DO OBJETO</w:t>
      </w:r>
    </w:p>
    <w:p w14:paraId="00000013">
      <w:pPr>
        <w:spacing w:before="240" w:after="240"/>
        <w:jc w:val="both"/>
        <w:rPr>
          <w:sz w:val="24"/>
          <w:szCs w:val="24"/>
        </w:rPr>
      </w:pPr>
      <w:r>
        <w:rPr>
          <w:sz w:val="24"/>
          <w:szCs w:val="24"/>
          <w:rtl w:val="0"/>
        </w:rPr>
        <w:t>5.1. A empresa será responsável pela entrega das mudas no local indicado pela Secretaria do Meio Ambiente.</w:t>
      </w:r>
    </w:p>
    <w:p w14:paraId="00000014">
      <w:pPr>
        <w:spacing w:before="240" w:after="240"/>
        <w:jc w:val="both"/>
        <w:rPr>
          <w:sz w:val="24"/>
          <w:szCs w:val="24"/>
        </w:rPr>
      </w:pPr>
      <w:r>
        <w:rPr>
          <w:sz w:val="24"/>
          <w:szCs w:val="24"/>
          <w:rtl w:val="0"/>
        </w:rPr>
        <w:t>5.2. A empresa contratada deverá realizar o transporte adequado das mudas, preservando a sua integridade e características. A contratada deverá entregar as mudas na sede da Secretaria Municipal de Meio Ambiente, na Rua Padre César Gardini nº 105 - Parque Ecológico Geraldo Jorge.</w:t>
      </w:r>
    </w:p>
    <w:p w14:paraId="00000015">
      <w:pPr>
        <w:spacing w:before="240" w:after="240"/>
        <w:jc w:val="both"/>
        <w:rPr>
          <w:sz w:val="24"/>
          <w:szCs w:val="24"/>
        </w:rPr>
      </w:pPr>
      <w:r>
        <w:rPr>
          <w:sz w:val="24"/>
          <w:szCs w:val="24"/>
          <w:rtl w:val="0"/>
        </w:rPr>
        <w:t>5.3. A entrega deve ocorrer dentro de um prazo de até 30 dias a partir da assinatura do contrato no horário comercial de segunda-feira a sexta-feira das 8h às 17h.</w:t>
      </w:r>
    </w:p>
    <w:p w14:paraId="00000016">
      <w:pPr>
        <w:pStyle w:val="4"/>
        <w:keepNext w:val="0"/>
        <w:keepLines w:val="0"/>
        <w:spacing w:before="280"/>
        <w:jc w:val="both"/>
        <w:rPr>
          <w:b/>
          <w:sz w:val="24"/>
          <w:szCs w:val="24"/>
        </w:rPr>
      </w:pPr>
      <w:bookmarkStart w:id="7" w:name="_so8vn7q030yz" w:colFirst="0" w:colLast="0"/>
      <w:bookmarkEnd w:id="7"/>
      <w:r>
        <w:rPr>
          <w:b/>
          <w:color w:val="000000"/>
          <w:sz w:val="24"/>
          <w:szCs w:val="24"/>
          <w:rtl w:val="0"/>
        </w:rPr>
        <w:t>6. GESTÃO DO CONTRATO</w:t>
      </w:r>
    </w:p>
    <w:p w14:paraId="00000017">
      <w:pPr>
        <w:spacing w:before="240" w:after="240"/>
        <w:jc w:val="both"/>
        <w:rPr>
          <w:sz w:val="24"/>
          <w:szCs w:val="24"/>
        </w:rPr>
      </w:pPr>
      <w:r>
        <w:rPr>
          <w:sz w:val="24"/>
          <w:szCs w:val="24"/>
          <w:rtl w:val="0"/>
        </w:rPr>
        <w:t>6.1 A gestão e o acompanhamento do contrato serão feitos pelo Sr. Breno Henrique De Souza Cintra, portador do CPF n° 405.042.088-35, responsável por supervisionar o cumprimento dos prazos e a qualidade dos serviços.</w:t>
      </w:r>
    </w:p>
    <w:p w14:paraId="00000018">
      <w:pPr>
        <w:spacing w:before="240" w:after="240"/>
        <w:jc w:val="both"/>
        <w:rPr>
          <w:b/>
          <w:sz w:val="24"/>
          <w:szCs w:val="24"/>
        </w:rPr>
      </w:pPr>
      <w:r>
        <w:rPr>
          <w:b/>
          <w:sz w:val="24"/>
          <w:szCs w:val="24"/>
          <w:rtl w:val="0"/>
        </w:rPr>
        <w:t>7. DOTAÇÃO ORÇAMENTÁRIA</w:t>
      </w:r>
    </w:p>
    <w:p w14:paraId="00000019">
      <w:pPr>
        <w:ind w:left="0" w:firstLine="0"/>
        <w:jc w:val="both"/>
        <w:rPr>
          <w:sz w:val="24"/>
          <w:szCs w:val="24"/>
        </w:rPr>
      </w:pPr>
      <w:r>
        <w:rPr>
          <w:sz w:val="24"/>
          <w:szCs w:val="24"/>
          <w:rtl w:val="0"/>
        </w:rPr>
        <w:t>02 14 Secretaria Municipal de Meio Ambiente</w:t>
      </w:r>
    </w:p>
    <w:p w14:paraId="0000001A">
      <w:pPr>
        <w:ind w:left="0" w:firstLine="0"/>
        <w:jc w:val="both"/>
        <w:rPr>
          <w:sz w:val="24"/>
          <w:szCs w:val="24"/>
        </w:rPr>
      </w:pPr>
      <w:r>
        <w:rPr>
          <w:sz w:val="24"/>
          <w:szCs w:val="24"/>
          <w:rtl w:val="0"/>
        </w:rPr>
        <w:t xml:space="preserve">021 401 Meio Ambiente </w:t>
      </w:r>
    </w:p>
    <w:p w14:paraId="0000001B">
      <w:pPr>
        <w:ind w:left="0" w:firstLine="0"/>
        <w:jc w:val="both"/>
        <w:rPr>
          <w:sz w:val="24"/>
          <w:szCs w:val="24"/>
        </w:rPr>
      </w:pPr>
      <w:r>
        <w:rPr>
          <w:sz w:val="24"/>
          <w:szCs w:val="24"/>
          <w:rtl w:val="0"/>
        </w:rPr>
        <w:t xml:space="preserve">18 541 0019 2025 0000 Manutenção das Atividades de Preservação Ambiental </w:t>
      </w:r>
    </w:p>
    <w:p w14:paraId="0000001C">
      <w:pPr>
        <w:ind w:left="0" w:firstLine="0"/>
        <w:jc w:val="both"/>
        <w:rPr>
          <w:sz w:val="24"/>
          <w:szCs w:val="24"/>
        </w:rPr>
      </w:pPr>
      <w:r>
        <w:rPr>
          <w:sz w:val="24"/>
          <w:szCs w:val="24"/>
          <w:rtl w:val="0"/>
        </w:rPr>
        <w:t>226 3.3.90.39.00 Outros serviços de Terceiros - Pessoa Jurídica</w:t>
      </w:r>
    </w:p>
    <w:p w14:paraId="0000001D">
      <w:pPr>
        <w:spacing w:before="240" w:after="240"/>
        <w:jc w:val="both"/>
        <w:rPr>
          <w:b/>
          <w:sz w:val="24"/>
          <w:szCs w:val="24"/>
        </w:rPr>
      </w:pPr>
      <w:r>
        <w:rPr>
          <w:b/>
          <w:sz w:val="24"/>
          <w:szCs w:val="24"/>
          <w:rtl w:val="0"/>
        </w:rPr>
        <w:t>8. MEDIÇÃO E PAGAMENTO</w:t>
      </w:r>
    </w:p>
    <w:p w14:paraId="0000001E">
      <w:pPr>
        <w:spacing w:before="240" w:after="240"/>
        <w:jc w:val="both"/>
        <w:rPr>
          <w:sz w:val="24"/>
          <w:szCs w:val="24"/>
        </w:rPr>
      </w:pPr>
      <w:r>
        <w:rPr>
          <w:sz w:val="24"/>
          <w:szCs w:val="24"/>
          <w:rtl w:val="0"/>
        </w:rPr>
        <w:t>8.1. O pagamento será realizado em até 30 (trinta) dias após a conclusão de cada etapa prevista no cronograma de serviços e mediante apresentação de Nota Fiscal, condicionada ao ato de conformidade pelo gestor do contrato, nos termos da Lei Federal nº 14.133/2021.</w:t>
      </w:r>
    </w:p>
    <w:p w14:paraId="0000001F">
      <w:pPr>
        <w:spacing w:before="240" w:after="240"/>
        <w:jc w:val="both"/>
        <w:rPr>
          <w:b/>
          <w:sz w:val="24"/>
          <w:szCs w:val="24"/>
        </w:rPr>
      </w:pPr>
    </w:p>
    <w:p w14:paraId="00000020">
      <w:pPr>
        <w:spacing w:before="240" w:after="240"/>
        <w:jc w:val="both"/>
        <w:rPr>
          <w:b/>
          <w:sz w:val="24"/>
          <w:szCs w:val="24"/>
        </w:rPr>
      </w:pPr>
    </w:p>
    <w:p w14:paraId="00000021">
      <w:pPr>
        <w:spacing w:before="240" w:after="240"/>
        <w:jc w:val="both"/>
        <w:rPr>
          <w:b/>
          <w:sz w:val="24"/>
          <w:szCs w:val="24"/>
        </w:rPr>
      </w:pPr>
      <w:r>
        <w:rPr>
          <w:b/>
          <w:sz w:val="24"/>
          <w:szCs w:val="24"/>
          <w:rtl w:val="0"/>
        </w:rPr>
        <w:t>9. SELEÇÃO DO FORNECEDOR</w:t>
      </w:r>
    </w:p>
    <w:p w14:paraId="00000022">
      <w:pPr>
        <w:spacing w:before="240" w:after="240"/>
        <w:jc w:val="both"/>
        <w:rPr>
          <w:sz w:val="24"/>
          <w:szCs w:val="24"/>
        </w:rPr>
      </w:pPr>
      <w:r>
        <w:rPr>
          <w:sz w:val="24"/>
          <w:szCs w:val="24"/>
          <w:rtl w:val="0"/>
        </w:rPr>
        <w:t>9.1. A seleção da empresa será baseada na avaliação de capacidade técnica e experiência comprovada no fornecimento de mudas nativas.</w:t>
      </w:r>
    </w:p>
    <w:p w14:paraId="00000023">
      <w:pPr>
        <w:spacing w:before="240" w:after="240"/>
        <w:jc w:val="both"/>
        <w:rPr>
          <w:b/>
          <w:sz w:val="24"/>
          <w:szCs w:val="24"/>
        </w:rPr>
      </w:pPr>
      <w:r>
        <w:rPr>
          <w:b/>
          <w:sz w:val="24"/>
          <w:szCs w:val="24"/>
          <w:rtl w:val="0"/>
        </w:rPr>
        <w:t>10. ESTIMATIVA DO PREÇO</w:t>
      </w:r>
    </w:p>
    <w:p w14:paraId="00000024">
      <w:pPr>
        <w:spacing w:line="240" w:lineRule="auto"/>
        <w:jc w:val="both"/>
        <w:rPr>
          <w:sz w:val="24"/>
          <w:szCs w:val="24"/>
        </w:rPr>
      </w:pPr>
      <w:r>
        <w:rPr>
          <w:sz w:val="24"/>
          <w:szCs w:val="24"/>
          <w:rtl w:val="0"/>
        </w:rPr>
        <w:t xml:space="preserve">10.1 Diante das necessidades apontadas neste T. R. O atendimento à solução exige a contratação de empresa cujo ramo de atividade é compatível com o objeto pretendido. </w:t>
      </w:r>
    </w:p>
    <w:p w14:paraId="00000025">
      <w:pPr>
        <w:spacing w:line="240" w:lineRule="auto"/>
        <w:jc w:val="both"/>
        <w:rPr>
          <w:sz w:val="24"/>
          <w:szCs w:val="24"/>
        </w:rPr>
      </w:pPr>
    </w:p>
    <w:p w14:paraId="00000026">
      <w:pPr>
        <w:spacing w:line="240" w:lineRule="auto"/>
        <w:jc w:val="both"/>
        <w:rPr>
          <w:sz w:val="24"/>
          <w:szCs w:val="24"/>
        </w:rPr>
      </w:pPr>
      <w:r>
        <w:rPr>
          <w:sz w:val="24"/>
          <w:szCs w:val="24"/>
          <w:rtl w:val="0"/>
        </w:rPr>
        <w:t>10.2. Foram analisadas contratações similares feitas por outros órgãos e entidades, conforme relatório de pesquisa de preços do “</w:t>
      </w:r>
      <w:r>
        <w:rPr>
          <w:sz w:val="24"/>
          <w:szCs w:val="24"/>
          <w:highlight w:val="white"/>
          <w:rtl w:val="0"/>
        </w:rPr>
        <w:t>Portal Nacional de Contratações Públicas</w:t>
      </w:r>
      <w:r>
        <w:rPr>
          <w:sz w:val="24"/>
          <w:szCs w:val="24"/>
          <w:rtl w:val="0"/>
        </w:rPr>
        <w:t xml:space="preserve">” em atendimento ao artigo 32 - DECRETO Nº 1.441/2024, DE 10 DE JANEIRO DE  2024, com base nos incisos I e II do art. 75 da Lei nº 14.133, de 1º de abril de 2021 , por meio de consultas a outros editais, com objetivo de identificar a existência de novas metodologias que melhor atendessem às necessidades da Administração. </w:t>
      </w:r>
    </w:p>
    <w:p w14:paraId="00000027">
      <w:pPr>
        <w:spacing w:line="240" w:lineRule="auto"/>
        <w:jc w:val="both"/>
        <w:rPr>
          <w:sz w:val="24"/>
          <w:szCs w:val="24"/>
        </w:rPr>
      </w:pPr>
    </w:p>
    <w:p w14:paraId="00000028">
      <w:pPr>
        <w:spacing w:line="240" w:lineRule="auto"/>
        <w:jc w:val="both"/>
        <w:rPr>
          <w:sz w:val="24"/>
          <w:szCs w:val="24"/>
        </w:rPr>
      </w:pPr>
      <w:r>
        <w:rPr>
          <w:sz w:val="24"/>
          <w:szCs w:val="24"/>
          <w:rtl w:val="0"/>
        </w:rPr>
        <w:t>9.3 O custo estimado unitário é de R$ 35,50 (trinta e cinco reais e cinquenta centavos), tendo como base a média de preços de contratações similares, conforme pesquisa de preços realizada e devidamente anexada a este Termo de Referência.</w:t>
      </w:r>
    </w:p>
    <w:p w14:paraId="00000029">
      <w:pPr>
        <w:spacing w:line="240" w:lineRule="auto"/>
        <w:jc w:val="both"/>
        <w:rPr>
          <w:color w:val="980000"/>
          <w:sz w:val="24"/>
          <w:szCs w:val="24"/>
        </w:rPr>
      </w:pPr>
    </w:p>
    <w:p w14:paraId="0000002A">
      <w:pPr>
        <w:spacing w:before="240" w:after="240"/>
        <w:jc w:val="both"/>
        <w:rPr>
          <w:b/>
          <w:sz w:val="24"/>
          <w:szCs w:val="24"/>
        </w:rPr>
      </w:pPr>
      <w:r>
        <w:rPr>
          <w:b/>
          <w:sz w:val="24"/>
          <w:szCs w:val="24"/>
          <w:rtl w:val="0"/>
        </w:rPr>
        <w:t>11. DISPOSIÇÕES FINAIS</w:t>
      </w:r>
    </w:p>
    <w:p w14:paraId="0000002B">
      <w:pPr>
        <w:spacing w:before="240" w:after="240"/>
        <w:jc w:val="both"/>
        <w:rPr>
          <w:sz w:val="24"/>
          <w:szCs w:val="24"/>
        </w:rPr>
      </w:pPr>
      <w:r>
        <w:rPr>
          <w:sz w:val="24"/>
          <w:szCs w:val="24"/>
          <w:rtl w:val="0"/>
        </w:rPr>
        <w:t xml:space="preserve">11.1. O presente Termo de Referência foi elaborado de acordo com a Lei nº 14.133, de 1º de abril de 2021, atendendo as normas legais aplicáveis ao processo de licitação e contratação de serviços especializados para fornecimento de mudas nativas. </w:t>
      </w:r>
    </w:p>
    <w:p w14:paraId="0000002C">
      <w:pPr>
        <w:spacing w:line="360" w:lineRule="auto"/>
        <w:jc w:val="left"/>
        <w:rPr>
          <w:sz w:val="24"/>
          <w:szCs w:val="24"/>
        </w:rPr>
      </w:pPr>
    </w:p>
    <w:p w14:paraId="0000002D">
      <w:pPr>
        <w:spacing w:line="360" w:lineRule="auto"/>
        <w:jc w:val="center"/>
        <w:rPr>
          <w:sz w:val="24"/>
          <w:szCs w:val="24"/>
        </w:rPr>
      </w:pPr>
    </w:p>
    <w:p w14:paraId="0000002E">
      <w:pPr>
        <w:spacing w:line="360" w:lineRule="auto"/>
        <w:jc w:val="right"/>
        <w:rPr>
          <w:b/>
        </w:rPr>
      </w:pPr>
      <w:r>
        <w:rPr>
          <w:b/>
          <w:rtl w:val="0"/>
        </w:rPr>
        <w:t>Rifaina, 25 de outubro de 2024</w:t>
      </w:r>
    </w:p>
    <w:p w14:paraId="0000002F">
      <w:pPr>
        <w:spacing w:line="360" w:lineRule="auto"/>
        <w:rPr>
          <w:sz w:val="24"/>
          <w:szCs w:val="24"/>
        </w:rPr>
      </w:pPr>
    </w:p>
    <w:p w14:paraId="00000030">
      <w:pPr>
        <w:spacing w:line="360" w:lineRule="auto"/>
        <w:jc w:val="left"/>
        <w:rPr>
          <w:sz w:val="24"/>
          <w:szCs w:val="24"/>
        </w:rPr>
      </w:pPr>
    </w:p>
    <w:p w14:paraId="00000031">
      <w:pPr>
        <w:spacing w:line="360" w:lineRule="auto"/>
        <w:jc w:val="center"/>
        <w:rPr>
          <w:sz w:val="24"/>
          <w:szCs w:val="24"/>
        </w:rPr>
      </w:pPr>
      <w:r>
        <w:rPr>
          <w:sz w:val="24"/>
          <w:szCs w:val="24"/>
          <w:rtl w:val="0"/>
        </w:rPr>
        <w:t>_________________________________________________</w:t>
      </w:r>
    </w:p>
    <w:p w14:paraId="00000032">
      <w:pPr>
        <w:spacing w:line="360" w:lineRule="auto"/>
        <w:jc w:val="center"/>
        <w:rPr>
          <w:b/>
          <w:sz w:val="24"/>
          <w:szCs w:val="24"/>
        </w:rPr>
      </w:pPr>
      <w:r>
        <w:rPr>
          <w:b/>
          <w:sz w:val="24"/>
          <w:szCs w:val="24"/>
          <w:rtl w:val="0"/>
        </w:rPr>
        <w:t xml:space="preserve">Secretaria do Meio Ambiente </w:t>
      </w:r>
    </w:p>
    <w:p w14:paraId="57FDB3AB">
      <w:pPr>
        <w:pStyle w:val="55"/>
        <w:jc w:val="both"/>
        <w:rPr>
          <w:rFonts w:ascii="Arial Narrow" w:hAnsi="Arial Narrow"/>
        </w:rPr>
      </w:pPr>
      <w:r>
        <w:rPr>
          <w:b/>
          <w:sz w:val="24"/>
          <w:szCs w:val="24"/>
          <w:rtl w:val="0"/>
        </w:rPr>
        <w:t>Felipe Baraldi</w:t>
      </w:r>
    </w:p>
    <w:p w14:paraId="173DD848">
      <w:pPr>
        <w:pStyle w:val="55"/>
        <w:jc w:val="both"/>
        <w:rPr>
          <w:rFonts w:ascii="Arial" w:hAnsi="Arial" w:cs="Arial"/>
        </w:rPr>
      </w:pPr>
    </w:p>
    <w:p w14:paraId="59E466A9">
      <w:pPr>
        <w:pStyle w:val="55"/>
        <w:ind w:firstLine="3000" w:firstLineChars="1500"/>
        <w:jc w:val="both"/>
        <w:rPr>
          <w:rFonts w:hint="default" w:eastAsia="Arial Unicode MS" w:asciiTheme="minorHAnsi" w:hAnsiTheme="minorHAnsi" w:cstheme="minorHAnsi"/>
          <w:sz w:val="20"/>
          <w:szCs w:val="20"/>
          <w:lang w:val="pt-BR"/>
        </w:rPr>
      </w:pPr>
    </w:p>
    <w:p w14:paraId="37EBB144">
      <w:pPr>
        <w:pStyle w:val="55"/>
        <w:ind w:firstLine="3000" w:firstLineChars="1500"/>
        <w:jc w:val="both"/>
        <w:rPr>
          <w:rFonts w:hint="default" w:eastAsia="Arial Unicode MS" w:asciiTheme="minorHAnsi" w:hAnsiTheme="minorHAnsi" w:cstheme="minorHAnsi"/>
          <w:sz w:val="20"/>
          <w:szCs w:val="20"/>
          <w:lang w:val="pt-BR"/>
        </w:rPr>
      </w:pPr>
    </w:p>
    <w:p w14:paraId="1167C91D">
      <w:pPr>
        <w:pStyle w:val="55"/>
        <w:ind w:firstLine="3000" w:firstLineChars="1500"/>
        <w:jc w:val="both"/>
        <w:rPr>
          <w:rFonts w:hint="default" w:eastAsia="Arial Unicode MS" w:asciiTheme="minorHAnsi" w:hAnsiTheme="minorHAnsi" w:cstheme="minorHAnsi"/>
          <w:sz w:val="20"/>
          <w:szCs w:val="20"/>
          <w:lang w:val="pt-BR"/>
        </w:rPr>
      </w:pPr>
    </w:p>
    <w:p w14:paraId="22279381">
      <w:pPr>
        <w:pStyle w:val="55"/>
        <w:ind w:firstLine="3000" w:firstLineChars="1500"/>
        <w:jc w:val="both"/>
        <w:rPr>
          <w:rFonts w:hint="default" w:eastAsia="Arial Unicode MS" w:asciiTheme="minorHAnsi" w:hAnsiTheme="minorHAnsi" w:cstheme="minorHAnsi"/>
          <w:sz w:val="20"/>
          <w:szCs w:val="20"/>
          <w:lang w:val="pt-BR"/>
        </w:rPr>
      </w:pPr>
    </w:p>
    <w:p w14:paraId="3392B600">
      <w:pPr>
        <w:pStyle w:val="55"/>
        <w:ind w:firstLine="3000" w:firstLineChars="1500"/>
        <w:jc w:val="both"/>
        <w:rPr>
          <w:rFonts w:hint="default" w:eastAsia="Arial Unicode MS" w:asciiTheme="minorHAnsi" w:hAnsiTheme="minorHAnsi" w:cstheme="minorHAnsi"/>
          <w:sz w:val="20"/>
          <w:szCs w:val="20"/>
          <w:lang w:val="pt-BR"/>
        </w:rPr>
      </w:pPr>
    </w:p>
    <w:p w14:paraId="48DEFCC8">
      <w:pPr>
        <w:pStyle w:val="55"/>
        <w:ind w:firstLine="3000" w:firstLineChars="1500"/>
        <w:jc w:val="both"/>
        <w:rPr>
          <w:rFonts w:hint="default" w:eastAsia="Arial Unicode MS" w:asciiTheme="minorHAnsi" w:hAnsiTheme="minorHAnsi" w:cstheme="minorHAnsi"/>
          <w:sz w:val="20"/>
          <w:szCs w:val="20"/>
          <w:lang w:val="pt-BR"/>
        </w:rPr>
      </w:pPr>
    </w:p>
    <w:p w14:paraId="16143C1D">
      <w:pPr>
        <w:pStyle w:val="55"/>
        <w:ind w:firstLine="3000" w:firstLineChars="1500"/>
        <w:jc w:val="both"/>
        <w:rPr>
          <w:rFonts w:hint="default" w:eastAsia="Arial Unicode MS" w:asciiTheme="minorHAnsi" w:hAnsiTheme="minorHAnsi" w:cstheme="minorHAnsi"/>
          <w:sz w:val="20"/>
          <w:szCs w:val="20"/>
          <w:lang w:val="pt-BR"/>
        </w:rPr>
      </w:pPr>
    </w:p>
    <w:p w14:paraId="13C58C2F">
      <w:pPr>
        <w:pStyle w:val="55"/>
        <w:ind w:firstLine="3000" w:firstLineChars="1500"/>
        <w:jc w:val="both"/>
        <w:rPr>
          <w:rFonts w:hint="default" w:eastAsia="Arial Unicode MS" w:asciiTheme="minorHAnsi" w:hAnsiTheme="minorHAnsi" w:cstheme="minorHAnsi"/>
          <w:sz w:val="20"/>
          <w:szCs w:val="20"/>
          <w:lang w:val="pt-BR"/>
        </w:rPr>
      </w:pPr>
    </w:p>
    <w:p w14:paraId="30361FD0">
      <w:pPr>
        <w:pStyle w:val="55"/>
        <w:ind w:firstLine="3000" w:firstLineChars="1500"/>
        <w:jc w:val="both"/>
        <w:rPr>
          <w:rFonts w:hint="default" w:eastAsia="Arial Unicode MS" w:asciiTheme="minorHAnsi" w:hAnsiTheme="minorHAnsi" w:cstheme="minorHAnsi"/>
          <w:sz w:val="20"/>
          <w:szCs w:val="20"/>
          <w:lang w:val="pt-BR"/>
        </w:rPr>
      </w:pPr>
    </w:p>
    <w:p w14:paraId="2E5140C6">
      <w:pPr>
        <w:pStyle w:val="55"/>
        <w:ind w:firstLine="3000" w:firstLineChars="1500"/>
        <w:jc w:val="both"/>
        <w:rPr>
          <w:rFonts w:hint="default" w:eastAsia="Arial Unicode MS" w:asciiTheme="minorHAnsi" w:hAnsiTheme="minorHAnsi" w:cstheme="minorHAnsi"/>
          <w:sz w:val="20"/>
          <w:szCs w:val="20"/>
          <w:lang w:val="pt-BR"/>
        </w:rPr>
      </w:pPr>
    </w:p>
    <w:p w14:paraId="11311617">
      <w:pPr>
        <w:pStyle w:val="55"/>
        <w:ind w:firstLine="3000" w:firstLineChars="1500"/>
        <w:jc w:val="both"/>
        <w:rPr>
          <w:rFonts w:hint="default" w:eastAsia="Arial Unicode MS" w:asciiTheme="minorHAnsi" w:hAnsiTheme="minorHAnsi" w:cstheme="minorHAnsi"/>
          <w:sz w:val="20"/>
          <w:szCs w:val="20"/>
          <w:lang w:val="pt-BR"/>
        </w:rPr>
      </w:pPr>
    </w:p>
    <w:p w14:paraId="5CD32223">
      <w:pPr>
        <w:pStyle w:val="55"/>
        <w:ind w:firstLine="3000" w:firstLineChars="1500"/>
        <w:jc w:val="both"/>
        <w:rPr>
          <w:rFonts w:hint="default" w:eastAsia="Arial Unicode MS" w:asciiTheme="minorHAnsi" w:hAnsiTheme="minorHAnsi" w:cstheme="minorHAnsi"/>
          <w:sz w:val="20"/>
          <w:szCs w:val="20"/>
          <w:lang w:val="pt-BR"/>
        </w:rPr>
      </w:pPr>
    </w:p>
    <w:p w14:paraId="6B752742">
      <w:pPr>
        <w:pStyle w:val="55"/>
        <w:ind w:firstLine="3000" w:firstLineChars="1500"/>
        <w:jc w:val="both"/>
        <w:rPr>
          <w:rFonts w:hint="default" w:eastAsia="Arial Unicode MS" w:asciiTheme="minorHAnsi" w:hAnsiTheme="minorHAnsi" w:cstheme="minorHAnsi"/>
          <w:sz w:val="20"/>
          <w:szCs w:val="20"/>
          <w:lang w:val="pt-BR"/>
        </w:rPr>
      </w:pPr>
    </w:p>
    <w:p w14:paraId="28047D1C">
      <w:pPr>
        <w:pStyle w:val="55"/>
        <w:ind w:firstLine="3000" w:firstLineChars="1500"/>
        <w:jc w:val="both"/>
        <w:rPr>
          <w:rFonts w:hint="default" w:eastAsia="Arial Unicode MS" w:asciiTheme="minorHAnsi" w:hAnsiTheme="minorHAnsi" w:cstheme="minorHAnsi"/>
          <w:sz w:val="20"/>
          <w:szCs w:val="20"/>
          <w:lang w:val="pt-BR"/>
        </w:rPr>
      </w:pPr>
    </w:p>
    <w:p w14:paraId="14AD2674">
      <w:pPr>
        <w:pStyle w:val="55"/>
        <w:ind w:firstLine="3000" w:firstLineChars="1500"/>
        <w:jc w:val="both"/>
        <w:rPr>
          <w:rFonts w:hint="default" w:eastAsia="Arial Unicode MS" w:asciiTheme="minorHAnsi" w:hAnsiTheme="minorHAnsi" w:cstheme="minorHAnsi"/>
          <w:sz w:val="20"/>
          <w:szCs w:val="20"/>
          <w:lang w:val="pt-BR"/>
        </w:rPr>
      </w:pPr>
    </w:p>
    <w:p w14:paraId="4A351D71">
      <w:pPr>
        <w:pStyle w:val="55"/>
        <w:ind w:firstLine="3000" w:firstLineChars="1500"/>
        <w:jc w:val="both"/>
        <w:rPr>
          <w:rFonts w:hint="default" w:eastAsia="Arial Unicode MS" w:asciiTheme="minorHAnsi" w:hAnsiTheme="minorHAnsi" w:cstheme="minorHAnsi"/>
          <w:sz w:val="20"/>
          <w:szCs w:val="20"/>
          <w:lang w:val="pt-BR"/>
        </w:rPr>
      </w:pPr>
    </w:p>
    <w:p w14:paraId="7B7C908D">
      <w:pPr>
        <w:pStyle w:val="55"/>
        <w:ind w:firstLine="3000" w:firstLineChars="1500"/>
        <w:jc w:val="both"/>
        <w:rPr>
          <w:rFonts w:hint="default" w:eastAsia="Arial Unicode MS" w:asciiTheme="minorHAnsi" w:hAnsiTheme="minorHAnsi" w:cstheme="minorHAnsi"/>
          <w:sz w:val="20"/>
          <w:szCs w:val="20"/>
          <w:lang w:val="pt-BR"/>
        </w:rPr>
      </w:pPr>
    </w:p>
    <w:p w14:paraId="258236F5">
      <w:pPr>
        <w:pStyle w:val="55"/>
        <w:ind w:firstLine="3000" w:firstLineChars="1500"/>
        <w:jc w:val="both"/>
        <w:rPr>
          <w:rFonts w:hint="default" w:eastAsia="Arial Unicode MS" w:asciiTheme="minorHAnsi" w:hAnsiTheme="minorHAnsi" w:cstheme="minorHAnsi"/>
          <w:sz w:val="20"/>
          <w:szCs w:val="20"/>
          <w:lang w:val="pt-BR"/>
        </w:rPr>
      </w:pPr>
    </w:p>
    <w:p w14:paraId="5E09CC03">
      <w:pPr>
        <w:pStyle w:val="55"/>
        <w:ind w:firstLine="3000" w:firstLineChars="1500"/>
        <w:jc w:val="both"/>
        <w:rPr>
          <w:rFonts w:hint="default" w:eastAsia="Arial Unicode MS" w:asciiTheme="minorHAnsi" w:hAnsiTheme="minorHAnsi" w:cstheme="minorHAnsi"/>
          <w:sz w:val="20"/>
          <w:szCs w:val="20"/>
          <w:lang w:val="pt-BR"/>
        </w:rPr>
      </w:pPr>
    </w:p>
    <w:p w14:paraId="6A9F0FDE">
      <w:pPr>
        <w:pStyle w:val="55"/>
        <w:ind w:firstLine="3000" w:firstLineChars="1500"/>
        <w:jc w:val="both"/>
        <w:rPr>
          <w:rFonts w:hint="default" w:eastAsia="Arial Unicode MS" w:asciiTheme="minorHAnsi" w:hAnsiTheme="minorHAnsi" w:cstheme="minorHAnsi"/>
          <w:sz w:val="20"/>
          <w:szCs w:val="20"/>
          <w:lang w:val="pt-BR"/>
        </w:rPr>
      </w:pPr>
    </w:p>
    <w:p w14:paraId="4E007EB1">
      <w:pPr>
        <w:pStyle w:val="55"/>
        <w:ind w:firstLine="3000" w:firstLineChars="1500"/>
        <w:jc w:val="both"/>
        <w:rPr>
          <w:rFonts w:hint="default" w:eastAsia="Arial Unicode MS" w:asciiTheme="minorHAnsi" w:hAnsiTheme="minorHAnsi" w:cstheme="minorHAnsi"/>
          <w:sz w:val="20"/>
          <w:szCs w:val="20"/>
          <w:lang w:val="pt-BR"/>
        </w:rPr>
      </w:pPr>
    </w:p>
    <w:p w14:paraId="5A2F658C">
      <w:pPr>
        <w:pStyle w:val="55"/>
        <w:ind w:firstLine="3000" w:firstLineChars="1500"/>
        <w:jc w:val="both"/>
        <w:rPr>
          <w:rFonts w:hint="default" w:eastAsia="Arial Unicode MS" w:asciiTheme="minorHAnsi" w:hAnsiTheme="minorHAnsi" w:cstheme="minorHAnsi"/>
          <w:sz w:val="20"/>
          <w:szCs w:val="20"/>
          <w:lang w:val="pt-BR"/>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434</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345</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406F326E">
      <w:pPr>
        <w:spacing w:line="576" w:lineRule="auto"/>
        <w:ind w:left="910" w:right="1227"/>
        <w:jc w:val="center"/>
        <w:rPr>
          <w:sz w:val="24"/>
          <w:szCs w:val="24"/>
          <w:rtl w:val="0"/>
        </w:rPr>
      </w:pPr>
      <w:r>
        <w:rPr>
          <w:sz w:val="24"/>
          <w:szCs w:val="24"/>
          <w:rtl w:val="0"/>
        </w:rPr>
        <w:t>Serão adquiridas 700 mudas de espécies nativas, considerando-se uma margem para perdas durante o plantio e adaptação inicial.</w:t>
      </w:r>
    </w:p>
    <w:p w14:paraId="504825EB">
      <w:pPr>
        <w:spacing w:before="240" w:after="240"/>
        <w:jc w:val="both"/>
        <w:rPr>
          <w:sz w:val="24"/>
          <w:szCs w:val="24"/>
        </w:rPr>
      </w:pPr>
      <w:r>
        <w:rPr>
          <w:sz w:val="24"/>
          <w:szCs w:val="24"/>
          <w:rtl w:val="0"/>
        </w:rPr>
        <w:t>As mudas devem possuir as seguintes características:</w:t>
      </w:r>
    </w:p>
    <w:p w14:paraId="1CA0EF6A">
      <w:pPr>
        <w:numPr>
          <w:ilvl w:val="0"/>
          <w:numId w:val="9"/>
        </w:numPr>
        <w:spacing w:before="240" w:after="0" w:afterAutospacing="0"/>
        <w:ind w:left="720" w:hanging="360"/>
        <w:jc w:val="both"/>
        <w:rPr>
          <w:sz w:val="24"/>
          <w:szCs w:val="24"/>
        </w:rPr>
      </w:pPr>
      <w:r>
        <w:rPr>
          <w:sz w:val="24"/>
          <w:szCs w:val="24"/>
          <w:rtl w:val="0"/>
        </w:rPr>
        <w:t>Espécies: Nativas do bioma Cerrado.</w:t>
      </w:r>
    </w:p>
    <w:p w14:paraId="420C1DB6">
      <w:pPr>
        <w:numPr>
          <w:ilvl w:val="0"/>
          <w:numId w:val="9"/>
        </w:numPr>
        <w:spacing w:before="0" w:beforeAutospacing="0" w:after="0" w:afterAutospacing="0"/>
        <w:ind w:left="720" w:hanging="360"/>
        <w:jc w:val="both"/>
        <w:rPr>
          <w:sz w:val="24"/>
          <w:szCs w:val="24"/>
        </w:rPr>
      </w:pPr>
      <w:r>
        <w:rPr>
          <w:sz w:val="24"/>
          <w:szCs w:val="24"/>
          <w:rtl w:val="0"/>
        </w:rPr>
        <w:t>Porte: Acima de 1 metro.</w:t>
      </w:r>
    </w:p>
    <w:p w14:paraId="2EFBAEF5">
      <w:pPr>
        <w:spacing w:line="576" w:lineRule="auto"/>
        <w:ind w:left="910" w:right="1227"/>
        <w:jc w:val="center"/>
        <w:rPr>
          <w:sz w:val="24"/>
          <w:szCs w:val="24"/>
          <w:rtl w:val="0"/>
        </w:rPr>
      </w:pPr>
      <w:r>
        <w:rPr>
          <w:sz w:val="24"/>
          <w:szCs w:val="24"/>
          <w:rtl w:val="0"/>
        </w:rPr>
        <w:t>Fornecimento: Viveiros devidamente licenciados para a produção de espécies nativas.</w:t>
      </w: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r>
        <w:rPr>
          <w:rFonts w:hint="default" w:ascii="Arial" w:hAnsi="Arial" w:cs="Arial"/>
          <w:b/>
          <w:bCs/>
          <w:sz w:val="24"/>
          <w:szCs w:val="24"/>
          <w:lang w:val="pt-BR"/>
        </w:rPr>
        <w:t>24.850,00</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Referente a aquisição de mudas de árvores espécies nativas do cerrado e floresta estacional semidecidual para plantio referente a compensação ambiental.</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8"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8"/>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1"/>
  </w:num>
  <w:num w:numId="3">
    <w:abstractNumId w:val="4"/>
  </w:num>
  <w:num w:numId="4">
    <w:abstractNumId w:val="10"/>
  </w:num>
  <w:num w:numId="5">
    <w:abstractNumId w:val="7"/>
  </w:num>
  <w:num w:numId="6">
    <w:abstractNumId w:val="8"/>
  </w:num>
  <w:num w:numId="7">
    <w:abstractNumId w:val="5"/>
  </w:num>
  <w:num w:numId="8">
    <w:abstractNumId w:val="9"/>
  </w:num>
  <w:num w:numId="9">
    <w:abstractNumId w:val="0"/>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BA5356C"/>
    <w:rsid w:val="0D9D202A"/>
    <w:rsid w:val="114A1C1D"/>
    <w:rsid w:val="13A3199E"/>
    <w:rsid w:val="2ACB710A"/>
    <w:rsid w:val="39DD50DD"/>
    <w:rsid w:val="3D8D7669"/>
    <w:rsid w:val="4BC17AB2"/>
    <w:rsid w:val="4D1E5A1D"/>
    <w:rsid w:val="5E647124"/>
    <w:rsid w:val="63803F94"/>
    <w:rsid w:val="7E7F502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0</TotalTime>
  <ScaleCrop>false</ScaleCrop>
  <LinksUpToDate>false</LinksUpToDate>
  <CharactersWithSpaces>12064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2024-10-31T11:44:24Z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