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66</w:t>
      </w:r>
      <w:r>
        <w:rPr>
          <w:b/>
          <w:spacing w:val="-2"/>
          <w:w w:val="115"/>
        </w:rPr>
        <w:t>/2025 PROCESSO ADM Nº 1</w:t>
      </w:r>
      <w:r>
        <w:rPr>
          <w:rFonts w:hint="default"/>
          <w:b/>
          <w:spacing w:val="-2"/>
          <w:w w:val="115"/>
          <w:lang w:val="pt-BR"/>
        </w:rPr>
        <w:t>71</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06</w:t>
      </w:r>
      <w:r>
        <w:rPr>
          <w:b/>
          <w:bCs/>
          <w:w w:val="115"/>
        </w:rPr>
        <w:t>/</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09</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09</w:t>
      </w:r>
      <w:r>
        <w:rPr>
          <w:b/>
          <w:bCs/>
          <w:w w:val="110"/>
        </w:rPr>
        <w:t>/</w:t>
      </w:r>
      <w:r>
        <w:rPr>
          <w:b/>
          <w:bCs/>
          <w:spacing w:val="-14"/>
          <w:w w:val="110"/>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spacing w:val="-10"/>
          <w:w w:val="115"/>
        </w:rPr>
      </w:pPr>
      <w:r>
        <w:rPr>
          <w:b/>
          <w:w w:val="110"/>
        </w:rPr>
        <w:t xml:space="preserve">      RECURSO PRÓPRIO</w:t>
      </w:r>
    </w:p>
    <w:p w14:paraId="7B347C51">
      <w:pPr>
        <w:spacing w:before="23"/>
        <w:ind w:left="492"/>
        <w:rPr>
          <w:w w:val="110"/>
          <w:lang w:val="pt-BR" w:eastAsia="zh-CN"/>
        </w:rPr>
      </w:pPr>
      <w:r>
        <w:rPr>
          <w:w w:val="110"/>
          <w:lang w:val="pt-BR" w:eastAsia="zh-CN"/>
        </w:rPr>
        <w:t>02 18 SECRETARIA MUNICIPAL DE OBRAS</w:t>
      </w:r>
    </w:p>
    <w:p w14:paraId="279228E3">
      <w:pPr>
        <w:spacing w:before="23"/>
        <w:ind w:left="492"/>
        <w:rPr>
          <w:w w:val="110"/>
          <w:lang w:val="pt-BR" w:eastAsia="zh-CN"/>
        </w:rPr>
      </w:pPr>
      <w:r>
        <w:rPr>
          <w:w w:val="110"/>
          <w:lang w:val="pt-BR" w:eastAsia="zh-CN"/>
        </w:rPr>
        <w:t>021801 OBRAS E SERVIÇOS URBANOS</w:t>
      </w:r>
    </w:p>
    <w:p w14:paraId="2D3750E0">
      <w:pPr>
        <w:spacing w:before="23"/>
        <w:ind w:left="492"/>
        <w:rPr>
          <w:w w:val="110"/>
          <w:lang w:val="pt-BR" w:eastAsia="zh-CN"/>
        </w:rPr>
      </w:pPr>
      <w:r>
        <w:rPr>
          <w:w w:val="110"/>
          <w:lang w:val="pt-BR" w:eastAsia="zh-CN"/>
        </w:rPr>
        <w:t>15 452 0045 2042 0000 Ampliação e Manutenção dos Serviços e Infraestrutura Urbana</w:t>
      </w:r>
    </w:p>
    <w:p w14:paraId="3E2674FF">
      <w:pPr>
        <w:spacing w:before="23"/>
        <w:ind w:left="492"/>
        <w:rPr>
          <w:w w:val="110"/>
          <w:lang w:val="pt-BR" w:eastAsia="zh-CN"/>
        </w:rPr>
      </w:pPr>
      <w:r>
        <w:rPr>
          <w:w w:val="110"/>
          <w:lang w:val="pt-BR" w:eastAsia="zh-CN"/>
        </w:rPr>
        <w:t>3.3.90.30.00 MATERIAL DE CONSUMO</w:t>
      </w:r>
    </w:p>
    <w:p w14:paraId="64632962">
      <w:pPr>
        <w:spacing w:before="23"/>
        <w:ind w:left="492"/>
        <w:rPr>
          <w:w w:val="110"/>
          <w:lang w:val="pt-BR" w:eastAsia="zh-CN"/>
        </w:rPr>
      </w:pPr>
      <w:r>
        <w:rPr>
          <w:w w:val="110"/>
          <w:lang w:val="pt-BR" w:eastAsia="zh-CN"/>
        </w:rPr>
        <w:t>4.4.90.52.00 EQUIPAMENTOS E MATERIAL PERMANENTE</w:t>
      </w:r>
    </w:p>
    <w:p w14:paraId="7E54001A">
      <w:pPr>
        <w:pStyle w:val="17"/>
        <w:jc w:val="both"/>
        <w:rPr>
          <w:rFonts w:asciiTheme="minorHAnsi" w:hAnsiTheme="minorHAnsi" w:cstheme="minorHAnsi"/>
          <w:sz w:val="18"/>
          <w:szCs w:val="18"/>
        </w:rPr>
      </w:pPr>
    </w:p>
    <w:p w14:paraId="415F0CE8">
      <w:pPr>
        <w:pStyle w:val="7"/>
        <w:spacing w:before="30"/>
        <w:rPr>
          <w:b/>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3"/>
        <w:numPr>
          <w:ilvl w:val="1"/>
          <w:numId w:val="3"/>
        </w:numPr>
        <w:tabs>
          <w:tab w:val="left" w:pos="1006"/>
        </w:tabs>
        <w:spacing w:before="11"/>
        <w:ind w:right="198" w:firstLine="0"/>
      </w:pPr>
      <w:r>
        <w:rPr>
          <w:w w:val="110"/>
        </w:rPr>
        <w:t>O objeto da presente dispensa é a escolha da proposta mais vantajosa para  a</w:t>
      </w:r>
      <w:r>
        <w:rPr>
          <w:w w:val="110"/>
          <w:sz w:val="24"/>
          <w:szCs w:val="24"/>
        </w:rPr>
        <w:t xml:space="preserve"> </w:t>
      </w:r>
      <w:r>
        <w:rPr>
          <w:rFonts w:hint="default" w:ascii="Times New Roman" w:hAnsi="Times New Roman" w:cs="Times New Roman"/>
          <w:b/>
          <w:bCs/>
          <w:sz w:val="24"/>
          <w:szCs w:val="24"/>
          <w:lang w:val="pt-BR"/>
        </w:rPr>
        <w:t>AQUISIÇÃO DE LUMINÁRIAS PÚBLICA LED DE 400 W</w:t>
      </w:r>
      <w:r>
        <w:rPr>
          <w:rFonts w:hint="default" w:cs="Times New Roman"/>
          <w:b/>
          <w:bCs/>
          <w:sz w:val="24"/>
          <w:szCs w:val="24"/>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7"/>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3"/>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3"/>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3"/>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3"/>
        </w:numPr>
        <w:tabs>
          <w:tab w:val="left" w:pos="1200"/>
        </w:tabs>
        <w:ind w:left="1200" w:hanging="708"/>
      </w:pPr>
      <w:r>
        <w:rPr>
          <w:spacing w:val="-2"/>
          <w:w w:val="120"/>
        </w:rPr>
        <w:t>SANÇÕES</w:t>
      </w:r>
    </w:p>
    <w:p w14:paraId="56F43166">
      <w:pPr>
        <w:pStyle w:val="13"/>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3"/>
        </w:numPr>
        <w:tabs>
          <w:tab w:val="left" w:pos="1198"/>
        </w:tabs>
        <w:spacing w:before="7"/>
        <w:ind w:left="1198" w:hanging="706"/>
      </w:pPr>
      <w:r>
        <w:rPr>
          <w:b/>
          <w:spacing w:val="-2"/>
          <w:w w:val="115"/>
        </w:rPr>
        <w:t>Multa</w:t>
      </w:r>
      <w:r>
        <w:rPr>
          <w:spacing w:val="-2"/>
          <w:w w:val="115"/>
        </w:rPr>
        <w:t>:</w:t>
      </w:r>
    </w:p>
    <w:p w14:paraId="35DE15B8">
      <w:pPr>
        <w:pStyle w:val="13"/>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9"/>
        </w:numPr>
        <w:tabs>
          <w:tab w:val="left" w:pos="1812"/>
        </w:tabs>
        <w:spacing w:before="6"/>
        <w:rPr>
          <w:b/>
          <w:sz w:val="18"/>
          <w:szCs w:val="18"/>
        </w:rPr>
      </w:pPr>
      <w:r>
        <w:rPr>
          <w:b/>
          <w:spacing w:val="-2"/>
          <w:w w:val="115"/>
          <w:sz w:val="18"/>
          <w:szCs w:val="18"/>
        </w:rPr>
        <w:t>ANEXO VII-Termo de Contrato</w:t>
      </w:r>
    </w:p>
    <w:p w14:paraId="5B0794C8">
      <w:pPr>
        <w:pStyle w:val="13"/>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7A6FC29A">
      <w:pPr>
        <w:pStyle w:val="7"/>
        <w:spacing w:before="106"/>
        <w:rPr>
          <w:b/>
          <w:sz w:val="18"/>
          <w:szCs w:val="18"/>
        </w:rPr>
      </w:pPr>
    </w:p>
    <w:p w14:paraId="2C898828">
      <w:pPr>
        <w:pStyle w:val="7"/>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05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7"/>
        <w:rPr>
          <w:sz w:val="18"/>
          <w:szCs w:val="18"/>
        </w:rPr>
      </w:pP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7126C26B">
      <w:pPr>
        <w:pStyle w:val="7"/>
        <w:spacing w:before="77"/>
      </w:pPr>
    </w:p>
    <w:p w14:paraId="02533BF3">
      <w:pPr>
        <w:pStyle w:val="2"/>
        <w:ind w:left="299" w:right="20"/>
        <w:jc w:val="center"/>
        <w:rPr>
          <w:w w:val="115"/>
        </w:rPr>
      </w:pPr>
    </w:p>
    <w:p w14:paraId="22534312">
      <w:pPr>
        <w:pStyle w:val="7"/>
        <w:rPr>
          <w:b/>
        </w:r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79753475">
      <w:pPr>
        <w:pStyle w:val="7"/>
        <w:spacing w:before="145"/>
        <w:rPr>
          <w:b/>
          <w:spacing w:val="-2"/>
          <w:w w:val="110"/>
          <w:sz w:val="24"/>
        </w:rPr>
      </w:pPr>
      <w:r>
        <w:rPr>
          <w:b/>
          <w:spacing w:val="4"/>
          <w:w w:val="110"/>
          <w:sz w:val="24"/>
        </w:rPr>
        <w:t>OBJETO:</w:t>
      </w:r>
      <w:r>
        <w:rPr>
          <w:b/>
          <w:spacing w:val="57"/>
          <w:w w:val="110"/>
          <w:sz w:val="24"/>
        </w:rPr>
        <w:t xml:space="preserve"> </w:t>
      </w:r>
      <w:r>
        <w:rPr>
          <w:rFonts w:hint="default" w:ascii="Times New Roman" w:hAnsi="Times New Roman" w:cs="Times New Roman"/>
          <w:b/>
          <w:bCs/>
          <w:sz w:val="24"/>
          <w:szCs w:val="24"/>
          <w:lang w:val="pt-BR"/>
        </w:rPr>
        <w:t>AQUISIÇÃO DE LUMINÁRIAS PÚBLICA LED DE 400 W</w:t>
      </w:r>
    </w:p>
    <w:p w14:paraId="7009A282">
      <w:pPr>
        <w:pStyle w:val="7"/>
        <w:spacing w:before="145"/>
      </w:pPr>
    </w:p>
    <w:p w14:paraId="206A594D">
      <w:pPr>
        <w:pStyle w:val="2"/>
        <w:numPr>
          <w:ilvl w:val="3"/>
          <w:numId w:val="10"/>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3EF98401">
      <w:pPr>
        <w:pStyle w:val="13"/>
        <w:rPr>
          <w:i/>
        </w:rPr>
      </w:pPr>
    </w:p>
    <w:p w14:paraId="0549E79E">
      <w:pPr>
        <w:rPr>
          <w:rFonts w:ascii="Times New Roman" w:hAnsi="Times New Roman"/>
          <w:b/>
        </w:rPr>
      </w:pPr>
    </w:p>
    <w:tbl>
      <w:tblPr>
        <w:tblStyle w:val="5"/>
        <w:tblW w:w="867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495"/>
      </w:tblGrid>
      <w:tr w14:paraId="2CAE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84" w:type="dxa"/>
            <w:shd w:val="clear" w:color="auto" w:fill="auto"/>
          </w:tcPr>
          <w:p w14:paraId="7F475649">
            <w:pPr>
              <w:ind w:hanging="2"/>
              <w:jc w:val="both"/>
              <w:rPr>
                <w:rFonts w:ascii="Times New Roman" w:hAnsi="Times New Roman"/>
              </w:rPr>
            </w:pPr>
            <w:r>
              <w:rPr>
                <w:rFonts w:ascii="Times New Roman" w:hAnsi="Times New Roman"/>
              </w:rPr>
              <w:t>ITEM</w:t>
            </w:r>
          </w:p>
        </w:tc>
        <w:tc>
          <w:tcPr>
            <w:tcW w:w="7495" w:type="dxa"/>
            <w:shd w:val="clear" w:color="auto" w:fill="auto"/>
          </w:tcPr>
          <w:p w14:paraId="6EC63011">
            <w:pPr>
              <w:ind w:hanging="2"/>
              <w:jc w:val="both"/>
              <w:rPr>
                <w:rFonts w:ascii="Times New Roman" w:hAnsi="Times New Roman"/>
              </w:rPr>
            </w:pPr>
            <w:r>
              <w:rPr>
                <w:rFonts w:ascii="Times New Roman" w:hAnsi="Times New Roman"/>
              </w:rPr>
              <w:t>DESCRIÇÃO</w:t>
            </w:r>
          </w:p>
        </w:tc>
      </w:tr>
      <w:tr w14:paraId="51DC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184" w:type="dxa"/>
            <w:shd w:val="clear" w:color="auto" w:fill="auto"/>
          </w:tcPr>
          <w:p w14:paraId="416EC178">
            <w:pPr>
              <w:ind w:hanging="2"/>
              <w:jc w:val="both"/>
              <w:rPr>
                <w:rFonts w:ascii="Times New Roman" w:hAnsi="Times New Roman"/>
              </w:rPr>
            </w:pPr>
            <w:r>
              <w:rPr>
                <w:rFonts w:ascii="Times New Roman" w:hAnsi="Times New Roman"/>
              </w:rPr>
              <w:t>1</w:t>
            </w:r>
          </w:p>
        </w:tc>
        <w:tc>
          <w:tcPr>
            <w:tcW w:w="7495" w:type="dxa"/>
            <w:shd w:val="clear" w:color="auto" w:fill="auto"/>
          </w:tcPr>
          <w:p w14:paraId="5100EE29">
            <w:pPr>
              <w:pStyle w:val="2"/>
              <w:ind w:left="360" w:right="-29"/>
              <w:jc w:val="both"/>
              <w:rPr>
                <w:rFonts w:eastAsia="SimSun"/>
                <w:b w:val="0"/>
                <w:bCs w:val="0"/>
                <w:sz w:val="24"/>
                <w:szCs w:val="24"/>
                <w:lang w:val="pt-BR" w:eastAsia="zh-CN"/>
              </w:rPr>
            </w:pPr>
            <w:r>
              <w:rPr>
                <w:rFonts w:eastAsia="SimSun"/>
                <w:b w:val="0"/>
                <w:bCs w:val="0"/>
                <w:sz w:val="24"/>
                <w:szCs w:val="24"/>
                <w:lang w:val="pt-BR" w:eastAsia="zh-CN"/>
              </w:rPr>
              <w:t>LUMINARIAS DE LED</w:t>
            </w:r>
          </w:p>
          <w:p w14:paraId="2BBD855F">
            <w:pPr>
              <w:pStyle w:val="2"/>
              <w:ind w:left="0" w:right="-29"/>
              <w:jc w:val="both"/>
              <w:rPr>
                <w:rFonts w:eastAsia="SimSun"/>
                <w:b w:val="0"/>
                <w:bCs w:val="0"/>
                <w:sz w:val="24"/>
                <w:szCs w:val="24"/>
                <w:lang w:val="pt-BR" w:eastAsia="zh-CN"/>
              </w:rPr>
            </w:pPr>
            <w:r>
              <w:rPr>
                <w:rFonts w:eastAsia="SimSun"/>
                <w:b w:val="0"/>
                <w:bCs w:val="0"/>
                <w:sz w:val="24"/>
                <w:szCs w:val="24"/>
                <w:lang w:val="pt-BR" w:eastAsia="zh-CN"/>
              </w:rPr>
              <w:t xml:space="preserve">                  Potência de 400W;</w:t>
            </w:r>
          </w:p>
          <w:p w14:paraId="20B24543">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Grau de proteção IP67/IP68;</w:t>
            </w:r>
          </w:p>
          <w:p w14:paraId="7217D435">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Fluxo luminoso mínimo de 40.000 lumens;</w:t>
            </w:r>
          </w:p>
          <w:p w14:paraId="1734F04A">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Temperatura de cor entre 6000K e 6500K;</w:t>
            </w:r>
          </w:p>
          <w:p w14:paraId="64F3043F">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Vida útil de no mínimo 50.000 horas.</w:t>
            </w:r>
          </w:p>
          <w:p w14:paraId="59F6DC05">
            <w:pPr>
              <w:ind w:hanging="2"/>
              <w:jc w:val="both"/>
              <w:rPr>
                <w:rFonts w:ascii="Times New Roman" w:hAnsi="Times New Roman"/>
              </w:rPr>
            </w:pPr>
            <w:r>
              <w:rPr>
                <w:rFonts w:ascii="Times New Roman" w:hAnsi="Times New Roman" w:eastAsia="SimSun" w:cs="Times New Roman"/>
                <w:sz w:val="24"/>
                <w:szCs w:val="24"/>
                <w:lang w:val="pt-BR" w:eastAsia="zh-CN"/>
              </w:rPr>
              <w:t>Base de encaixe 50,8mm / 2 Polegadas</w:t>
            </w:r>
          </w:p>
        </w:tc>
      </w:tr>
    </w:tbl>
    <w:p w14:paraId="08773198">
      <w:pPr>
        <w:pStyle w:val="14"/>
        <w:rPr>
          <w:b/>
          <w:i/>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1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1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1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1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1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1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12"/>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12"/>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1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1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1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3"/>
        <w:numPr>
          <w:ilvl w:val="1"/>
          <w:numId w:val="12"/>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1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1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12"/>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1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1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1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1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1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7"/>
        <w:jc w:val="both"/>
        <w:sectPr>
          <w:headerReference r:id="rId9" w:type="default"/>
          <w:footerReference r:id="rId10" w:type="default"/>
          <w:pgSz w:w="11920" w:h="16850"/>
          <w:pgMar w:top="1980" w:right="992" w:bottom="1100" w:left="708" w:header="196" w:footer="903" w:gutter="0"/>
          <w:cols w:space="720" w:num="1"/>
        </w:sect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1AD35A61">
      <w:pPr>
        <w:pStyle w:val="2"/>
        <w:spacing w:line="360" w:lineRule="auto"/>
        <w:ind w:right="-29"/>
        <w:jc w:val="center"/>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Termo de Referência (TR)</w:t>
      </w:r>
    </w:p>
    <w:p w14:paraId="1A452F70">
      <w:pPr>
        <w:pStyle w:val="2"/>
        <w:numPr>
          <w:ilvl w:val="0"/>
          <w:numId w:val="13"/>
        </w:numPr>
        <w:spacing w:line="360" w:lineRule="auto"/>
        <w:ind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Definição do objeto: </w:t>
      </w:r>
    </w:p>
    <w:p w14:paraId="393EF5E8">
      <w:pPr>
        <w:pStyle w:val="2"/>
        <w:spacing w:line="360" w:lineRule="auto"/>
        <w:ind w:left="360"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Aquisição de 300 luminárias públicas LED de 400W, para modernização do sistema de ilminação pública do município de Rifaina-SP.</w:t>
      </w:r>
    </w:p>
    <w:p w14:paraId="33647C0A">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2. Fundamentação da contratação: </w:t>
      </w:r>
    </w:p>
    <w:p w14:paraId="3F6CA7BD">
      <w:pPr>
        <w:pStyle w:val="2"/>
        <w:spacing w:line="360" w:lineRule="auto"/>
        <w:ind w:left="0" w:right="-29" w:firstLine="72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A modernização da iluminação pública é essencial para garantir maior segurança, economia de energia e redução de custos com manutenção, além de proporcionar melhor qualidade de vida aos munícipes.</w:t>
      </w:r>
    </w:p>
    <w:p w14:paraId="722B90A1">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3. Descrição da solução: </w:t>
      </w:r>
    </w:p>
    <w:p w14:paraId="466BCB10">
      <w:pPr>
        <w:pStyle w:val="2"/>
        <w:spacing w:line="360" w:lineRule="auto"/>
        <w:ind w:left="0" w:right="-29" w:firstLine="36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Fornecimento de luminárias LED com especificações técnicas que atendam às necessidades do município. As luminárias devem possuir:</w:t>
      </w:r>
    </w:p>
    <w:p w14:paraId="3059F0A4">
      <w:pPr>
        <w:pStyle w:val="2"/>
        <w:numPr>
          <w:ilvl w:val="0"/>
          <w:numId w:val="11"/>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Potência de 400W;</w:t>
      </w:r>
    </w:p>
    <w:p w14:paraId="05719687">
      <w:pPr>
        <w:pStyle w:val="2"/>
        <w:numPr>
          <w:ilvl w:val="0"/>
          <w:numId w:val="11"/>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Grau de proteção IP67/IP68;</w:t>
      </w:r>
    </w:p>
    <w:p w14:paraId="71A86F70">
      <w:pPr>
        <w:pStyle w:val="2"/>
        <w:numPr>
          <w:ilvl w:val="0"/>
          <w:numId w:val="11"/>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Fluxo luminoso mínimo de 40.000 lumens;</w:t>
      </w:r>
    </w:p>
    <w:p w14:paraId="65C816F1">
      <w:pPr>
        <w:pStyle w:val="2"/>
        <w:numPr>
          <w:ilvl w:val="0"/>
          <w:numId w:val="11"/>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Temperatura de cor entre 6000K e 6500K;</w:t>
      </w:r>
    </w:p>
    <w:p w14:paraId="4825141C">
      <w:pPr>
        <w:pStyle w:val="2"/>
        <w:numPr>
          <w:ilvl w:val="0"/>
          <w:numId w:val="11"/>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Vida útil de no mínimo 50.000 horas.</w:t>
      </w:r>
    </w:p>
    <w:p w14:paraId="21585B0F">
      <w:pPr>
        <w:pStyle w:val="2"/>
        <w:numPr>
          <w:ilvl w:val="0"/>
          <w:numId w:val="11"/>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Base de encaixe 50,8mm / 2 Polegadas</w:t>
      </w:r>
    </w:p>
    <w:p w14:paraId="518159FA">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4. Requisitos da contratação:</w:t>
      </w:r>
    </w:p>
    <w:p w14:paraId="629B01EC">
      <w:pPr>
        <w:pStyle w:val="2"/>
        <w:spacing w:line="360" w:lineRule="auto"/>
        <w:ind w:left="720" w:right="-29"/>
        <w:jc w:val="both"/>
        <w:rPr>
          <w:rFonts w:ascii="Times New Roman" w:hAnsi="Times New Roman" w:eastAsia="SimSun" w:cs="Times New Roman"/>
          <w:b w:val="0"/>
          <w:bCs w:val="0"/>
          <w:sz w:val="24"/>
          <w:szCs w:val="24"/>
          <w:lang w:val="pt-BR" w:eastAsia="zh-CN"/>
        </w:rPr>
      </w:pPr>
    </w:p>
    <w:p w14:paraId="584099B0">
      <w:pPr>
        <w:pStyle w:val="2"/>
        <w:numPr>
          <w:ilvl w:val="0"/>
          <w:numId w:val="14"/>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Garantia mínima de 12 meses;</w:t>
      </w:r>
    </w:p>
    <w:p w14:paraId="4154CEA0">
      <w:pPr>
        <w:pStyle w:val="2"/>
        <w:numPr>
          <w:ilvl w:val="0"/>
          <w:numId w:val="14"/>
        </w:numPr>
        <w:spacing w:line="360" w:lineRule="auto"/>
        <w:ind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Embalagem lacrada com todos os itens necessários para instalação;</w:t>
      </w:r>
    </w:p>
    <w:p w14:paraId="3044BA90">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Para fins de habilitação, deverá o licitante comprovar os seguintes requisitos:</w:t>
      </w:r>
    </w:p>
    <w:p w14:paraId="1110ED1E">
      <w:pPr>
        <w:pStyle w:val="13"/>
        <w:widowControl/>
        <w:autoSpaceDE/>
        <w:autoSpaceDN/>
        <w:ind w:left="720" w:right="145"/>
        <w:rPr>
          <w:rFonts w:ascii="Arial" w:hAnsi="Arial" w:eastAsia="Calibri" w:cs="Arial"/>
          <w:b/>
          <w:lang w:val="pt-BR"/>
        </w:rPr>
      </w:pPr>
    </w:p>
    <w:p w14:paraId="57B60518">
      <w:pPr>
        <w:pStyle w:val="13"/>
        <w:widowControl/>
        <w:numPr>
          <w:ilvl w:val="0"/>
          <w:numId w:val="14"/>
        </w:numPr>
        <w:autoSpaceDE/>
        <w:autoSpaceDN/>
        <w:ind w:right="145"/>
        <w:rPr>
          <w:rFonts w:ascii="Arial" w:hAnsi="Arial" w:eastAsia="Calibri" w:cs="Arial"/>
          <w:b/>
          <w:lang w:val="pt-BR"/>
        </w:rPr>
      </w:pPr>
      <w:r>
        <w:rPr>
          <w:rFonts w:ascii="Arial" w:hAnsi="Arial" w:eastAsia="Calibri" w:cs="Arial"/>
          <w:b/>
          <w:lang w:val="pt-BR"/>
        </w:rPr>
        <w:t>Habilitação Jurídica</w:t>
      </w:r>
    </w:p>
    <w:p w14:paraId="7CEE614D">
      <w:pPr>
        <w:pStyle w:val="13"/>
        <w:widowControl/>
        <w:autoSpaceDE/>
        <w:autoSpaceDN/>
        <w:ind w:left="720" w:right="145"/>
        <w:rPr>
          <w:rFonts w:ascii="Arial" w:hAnsi="Arial" w:eastAsia="Calibri" w:cs="Arial"/>
          <w:bCs/>
          <w:lang w:val="pt-BR"/>
        </w:rPr>
      </w:pPr>
    </w:p>
    <w:p w14:paraId="6017C347">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Pessoa física: cédula de identidade (RG) ou documento equivalente que, por força de lei, tenha validade para fins de identificação em todo o território nacional;</w:t>
      </w:r>
    </w:p>
    <w:p w14:paraId="0AAB61D3">
      <w:pPr>
        <w:pStyle w:val="13"/>
        <w:widowControl/>
        <w:autoSpaceDE/>
        <w:autoSpaceDN/>
        <w:ind w:left="720" w:right="145"/>
        <w:rPr>
          <w:rFonts w:ascii="Arial" w:hAnsi="Arial" w:eastAsia="Calibri" w:cs="Arial"/>
          <w:bCs/>
          <w:lang w:val="pt-BR"/>
        </w:rPr>
      </w:pPr>
    </w:p>
    <w:p w14:paraId="6BD485C2">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Empresário individual: inscrição no Registro Público de Empresas Mercantis, a cargo da Junta Comercial da respectiva sede;</w:t>
      </w:r>
    </w:p>
    <w:p w14:paraId="531C66D3">
      <w:pPr>
        <w:pStyle w:val="13"/>
        <w:widowControl/>
        <w:autoSpaceDE/>
        <w:autoSpaceDN/>
        <w:ind w:left="720" w:right="145"/>
        <w:rPr>
          <w:rFonts w:ascii="Arial" w:hAnsi="Arial" w:eastAsia="Calibri" w:cs="Arial"/>
          <w:bCs/>
          <w:lang w:val="pt-BR"/>
        </w:rPr>
      </w:pPr>
    </w:p>
    <w:p w14:paraId="03A19688">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Microempreendedor Individual - MEI: Certificado da Condição de Microempreendedor Individual - CCMEI, cuja aceitação ficará condicionada à verificação da autenticidade no sítio https://www.gov.br/empresas-e-negocios/pt-br/empreendedor;</w:t>
      </w:r>
    </w:p>
    <w:p w14:paraId="691885C4">
      <w:pPr>
        <w:pStyle w:val="13"/>
        <w:widowControl/>
        <w:autoSpaceDE/>
        <w:autoSpaceDN/>
        <w:ind w:left="720" w:right="145"/>
        <w:rPr>
          <w:rFonts w:ascii="Arial" w:hAnsi="Arial" w:eastAsia="Calibri" w:cs="Arial"/>
          <w:bCs/>
          <w:lang w:val="pt-BR"/>
        </w:rPr>
      </w:pPr>
    </w:p>
    <w:p w14:paraId="6CD0B067">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D0C5775">
      <w:pPr>
        <w:pStyle w:val="13"/>
        <w:widowControl/>
        <w:autoSpaceDE/>
        <w:autoSpaceDN/>
        <w:ind w:left="720" w:right="145"/>
        <w:rPr>
          <w:rFonts w:ascii="Arial" w:hAnsi="Arial" w:eastAsia="Calibri" w:cs="Arial"/>
          <w:bCs/>
          <w:lang w:val="pt-BR"/>
        </w:rPr>
      </w:pPr>
    </w:p>
    <w:p w14:paraId="7D83D6AD">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5CFAD5F">
      <w:pPr>
        <w:pStyle w:val="13"/>
        <w:widowControl/>
        <w:autoSpaceDE/>
        <w:autoSpaceDN/>
        <w:ind w:left="720" w:right="145"/>
        <w:rPr>
          <w:rFonts w:ascii="Arial" w:hAnsi="Arial" w:eastAsia="Calibri" w:cs="Arial"/>
          <w:bCs/>
          <w:lang w:val="pt-BR"/>
        </w:rPr>
      </w:pPr>
    </w:p>
    <w:p w14:paraId="4B3AFF89">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Sociedade simples: inscrição do ato constitutivo no Registro Civil de Pessoas Jurídicas do local de sua sede, acompanhada de documento comprobatório de seus administradores;</w:t>
      </w:r>
    </w:p>
    <w:p w14:paraId="316A056F">
      <w:pPr>
        <w:pStyle w:val="13"/>
        <w:widowControl/>
        <w:autoSpaceDE/>
        <w:autoSpaceDN/>
        <w:ind w:left="720" w:right="145"/>
        <w:rPr>
          <w:rFonts w:ascii="Arial" w:hAnsi="Arial" w:eastAsia="Calibri" w:cs="Arial"/>
          <w:bCs/>
          <w:lang w:val="pt-BR"/>
        </w:rPr>
      </w:pPr>
    </w:p>
    <w:p w14:paraId="4B5F44EC">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0E3E428">
      <w:pPr>
        <w:pStyle w:val="13"/>
        <w:widowControl/>
        <w:numPr>
          <w:ilvl w:val="0"/>
          <w:numId w:val="14"/>
        </w:numPr>
        <w:autoSpaceDE/>
        <w:autoSpaceDN/>
        <w:ind w:right="145"/>
        <w:rPr>
          <w:rFonts w:ascii="Arial" w:hAnsi="Arial" w:eastAsia="Calibri" w:cs="Arial"/>
          <w:sz w:val="21"/>
          <w:szCs w:val="21"/>
          <w:lang w:val="pt-BR"/>
        </w:rPr>
      </w:pPr>
    </w:p>
    <w:p w14:paraId="61B4A4E0">
      <w:pPr>
        <w:pStyle w:val="13"/>
        <w:widowControl/>
        <w:autoSpaceDE/>
        <w:autoSpaceDN/>
        <w:ind w:left="720" w:right="145"/>
        <w:rPr>
          <w:rFonts w:ascii="Arial" w:hAnsi="Arial" w:eastAsia="Calibri" w:cs="Arial"/>
          <w:bCs/>
          <w:lang w:val="pt-BR"/>
        </w:rPr>
      </w:pPr>
    </w:p>
    <w:p w14:paraId="6A26171D">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251A966">
      <w:pPr>
        <w:pStyle w:val="13"/>
        <w:widowControl/>
        <w:autoSpaceDE/>
        <w:autoSpaceDN/>
        <w:ind w:left="720" w:right="145"/>
        <w:rPr>
          <w:rFonts w:ascii="Arial" w:hAnsi="Arial" w:eastAsia="Calibri" w:cs="Arial"/>
          <w:bCs/>
          <w:lang w:val="pt-BR"/>
        </w:rPr>
      </w:pPr>
    </w:p>
    <w:p w14:paraId="21DC7D2E">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22BB205C">
      <w:pPr>
        <w:pStyle w:val="13"/>
        <w:widowControl/>
        <w:autoSpaceDE/>
        <w:autoSpaceDN/>
        <w:ind w:left="720" w:right="145"/>
        <w:rPr>
          <w:rFonts w:ascii="Arial" w:hAnsi="Arial" w:eastAsia="Calibri" w:cs="Arial"/>
          <w:bCs/>
          <w:lang w:val="pt-BR"/>
        </w:rPr>
      </w:pPr>
    </w:p>
    <w:p w14:paraId="7FD52A4E">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Produtor Rural: matrícula no Cadastro Específico do INSS – CEI, que comprove a qualificação como produtor rural pessoa física, nos termos da Instrução Normativa RFB n. 971, de 13 de novembro de 2009 (arts. 17 a 19 e 165).</w:t>
      </w:r>
    </w:p>
    <w:p w14:paraId="2FC4FE14">
      <w:pPr>
        <w:pStyle w:val="13"/>
        <w:widowControl/>
        <w:autoSpaceDE/>
        <w:autoSpaceDN/>
        <w:ind w:left="720" w:right="145"/>
        <w:rPr>
          <w:rFonts w:ascii="Arial" w:hAnsi="Arial" w:eastAsia="Calibri" w:cs="Arial"/>
          <w:bCs/>
          <w:lang w:val="pt-BR"/>
        </w:rPr>
      </w:pPr>
    </w:p>
    <w:p w14:paraId="335415F7">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Ato de autorização para o exercício da atividade de ............ (especificar a atividade contratada sujeita à autorização), expedido por ....... (especificar o órgão competente) nos termos do art. ..... da (Lei/Decreto) n° ........</w:t>
      </w:r>
    </w:p>
    <w:p w14:paraId="3BDB7042">
      <w:pPr>
        <w:pStyle w:val="13"/>
        <w:widowControl/>
        <w:autoSpaceDE/>
        <w:autoSpaceDN/>
        <w:ind w:left="720" w:right="145"/>
        <w:rPr>
          <w:rFonts w:ascii="Arial" w:hAnsi="Arial" w:eastAsia="Calibri" w:cs="Arial"/>
          <w:bCs/>
          <w:lang w:val="pt-BR"/>
        </w:rPr>
      </w:pPr>
    </w:p>
    <w:p w14:paraId="6C6E7169">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Os documentos apresentados deverão estar acompanhados de todas as alterações ou da consolidação respectiva.</w:t>
      </w:r>
    </w:p>
    <w:p w14:paraId="6401B663">
      <w:pPr>
        <w:pStyle w:val="13"/>
        <w:widowControl/>
        <w:autoSpaceDE/>
        <w:autoSpaceDN/>
        <w:ind w:left="720" w:right="145"/>
        <w:rPr>
          <w:rFonts w:ascii="Arial" w:hAnsi="Arial" w:eastAsia="Calibri" w:cs="Arial"/>
          <w:bCs/>
          <w:lang w:val="pt-BR"/>
        </w:rPr>
      </w:pPr>
    </w:p>
    <w:p w14:paraId="30BEEDE0">
      <w:pPr>
        <w:pStyle w:val="13"/>
        <w:widowControl/>
        <w:numPr>
          <w:ilvl w:val="0"/>
          <w:numId w:val="14"/>
        </w:numPr>
        <w:autoSpaceDE/>
        <w:autoSpaceDN/>
        <w:ind w:right="145"/>
        <w:rPr>
          <w:rFonts w:ascii="Arial" w:hAnsi="Arial" w:eastAsia="Calibri" w:cs="Arial"/>
          <w:b/>
          <w:lang w:val="pt-BR"/>
        </w:rPr>
      </w:pPr>
      <w:r>
        <w:rPr>
          <w:rFonts w:ascii="Arial" w:hAnsi="Arial" w:eastAsia="Calibri" w:cs="Arial"/>
          <w:b/>
          <w:lang w:val="pt-BR"/>
        </w:rPr>
        <w:t>Habilitação fiscal, social e trabalhista</w:t>
      </w:r>
    </w:p>
    <w:p w14:paraId="600D9683">
      <w:pPr>
        <w:pStyle w:val="13"/>
        <w:rPr>
          <w:rFonts w:ascii="Arial" w:hAnsi="Arial" w:eastAsia="Calibri" w:cs="Arial"/>
          <w:b/>
          <w:lang w:val="pt-BR"/>
        </w:rPr>
      </w:pPr>
    </w:p>
    <w:p w14:paraId="39CF4818">
      <w:pPr>
        <w:pStyle w:val="13"/>
        <w:widowControl/>
        <w:autoSpaceDE/>
        <w:autoSpaceDN/>
        <w:ind w:left="720" w:right="145"/>
        <w:rPr>
          <w:rFonts w:ascii="Arial" w:hAnsi="Arial" w:eastAsia="Calibri" w:cs="Arial"/>
          <w:b/>
          <w:lang w:val="pt-BR"/>
        </w:rPr>
      </w:pPr>
    </w:p>
    <w:p w14:paraId="27B87228">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Prova de inscrição no Cadastro Nacional de Pessoas Jurídicas ou no Cadastro de Pessoas Físicas, conforme o caso;</w:t>
      </w:r>
    </w:p>
    <w:p w14:paraId="6A0042D1">
      <w:pPr>
        <w:pStyle w:val="13"/>
        <w:widowControl/>
        <w:autoSpaceDE/>
        <w:autoSpaceDN/>
        <w:ind w:left="720" w:right="145"/>
        <w:rPr>
          <w:rFonts w:ascii="Arial" w:hAnsi="Arial" w:eastAsia="Calibri" w:cs="Arial"/>
          <w:bCs/>
          <w:lang w:val="pt-BR"/>
        </w:rPr>
      </w:pPr>
    </w:p>
    <w:p w14:paraId="27104769">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69047CF">
      <w:pPr>
        <w:pStyle w:val="13"/>
        <w:widowControl/>
        <w:autoSpaceDE/>
        <w:autoSpaceDN/>
        <w:ind w:left="720" w:right="145"/>
        <w:rPr>
          <w:rFonts w:ascii="Arial" w:hAnsi="Arial" w:eastAsia="Calibri" w:cs="Arial"/>
          <w:bCs/>
          <w:lang w:val="pt-BR"/>
        </w:rPr>
      </w:pPr>
    </w:p>
    <w:p w14:paraId="581FA0AC">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Prova de regularidade com o Fundo de Garantia do Tempo de Serviço (FGTS);</w:t>
      </w:r>
    </w:p>
    <w:p w14:paraId="5063C378">
      <w:pPr>
        <w:pStyle w:val="13"/>
        <w:widowControl/>
        <w:autoSpaceDE/>
        <w:autoSpaceDN/>
        <w:ind w:left="720" w:right="145"/>
        <w:rPr>
          <w:rFonts w:ascii="Arial" w:hAnsi="Arial" w:eastAsia="Calibri" w:cs="Arial"/>
          <w:bCs/>
          <w:lang w:val="pt-BR"/>
        </w:rPr>
      </w:pPr>
    </w:p>
    <w:p w14:paraId="1E4EBC65">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D9E3473">
      <w:pPr>
        <w:pStyle w:val="13"/>
        <w:widowControl/>
        <w:autoSpaceDE/>
        <w:autoSpaceDN/>
        <w:ind w:left="720" w:right="145"/>
        <w:rPr>
          <w:rFonts w:ascii="Arial" w:hAnsi="Arial" w:eastAsia="Calibri" w:cs="Arial"/>
          <w:bCs/>
          <w:lang w:val="pt-BR"/>
        </w:rPr>
      </w:pPr>
    </w:p>
    <w:p w14:paraId="494EFDBD">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Prova de inscrição no cadastro de contribuintes [Estadual/Distrital] ou [Municipal/Distrital] relativo ao domicílio ou sede do fornecedor, pertinente ao seu ramo de atividade e compatível com o objeto contratual;</w:t>
      </w:r>
    </w:p>
    <w:p w14:paraId="76690CF4">
      <w:pPr>
        <w:pStyle w:val="13"/>
        <w:widowControl/>
        <w:autoSpaceDE/>
        <w:autoSpaceDN/>
        <w:ind w:left="720" w:right="145"/>
        <w:rPr>
          <w:rFonts w:ascii="Arial" w:hAnsi="Arial" w:eastAsia="Calibri" w:cs="Arial"/>
          <w:bCs/>
          <w:lang w:val="pt-BR"/>
        </w:rPr>
      </w:pPr>
    </w:p>
    <w:p w14:paraId="3722EFEA">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Prova de regularidade com a Fazenda [Estadual/Distrital] ou [Municipal/Distrital] do domicílio ou sede do fornecedor, relativa à atividade em cujo exercício contrata ou concorre;</w:t>
      </w:r>
    </w:p>
    <w:p w14:paraId="525AC6D6">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F8AEFFB">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0257423">
      <w:pPr>
        <w:pStyle w:val="13"/>
        <w:widowControl/>
        <w:autoSpaceDE/>
        <w:autoSpaceDN/>
        <w:ind w:left="720" w:right="145"/>
        <w:rPr>
          <w:rFonts w:ascii="Arial" w:hAnsi="Arial" w:eastAsia="Calibri" w:cs="Arial"/>
          <w:bCs/>
          <w:lang w:val="pt-BR"/>
        </w:rPr>
      </w:pPr>
    </w:p>
    <w:p w14:paraId="07E51140">
      <w:pPr>
        <w:pStyle w:val="13"/>
        <w:widowControl/>
        <w:numPr>
          <w:ilvl w:val="0"/>
          <w:numId w:val="14"/>
        </w:numPr>
        <w:autoSpaceDE/>
        <w:autoSpaceDN/>
        <w:ind w:right="145"/>
        <w:rPr>
          <w:rFonts w:ascii="Arial" w:hAnsi="Arial" w:eastAsia="Calibri" w:cs="Arial"/>
          <w:b/>
          <w:lang w:val="pt-BR"/>
        </w:rPr>
      </w:pPr>
      <w:r>
        <w:rPr>
          <w:rFonts w:ascii="Arial" w:hAnsi="Arial" w:eastAsia="Calibri" w:cs="Arial"/>
          <w:b/>
          <w:lang w:val="pt-BR"/>
        </w:rPr>
        <w:t>Qualificação econômico-financeira</w:t>
      </w:r>
    </w:p>
    <w:p w14:paraId="79D37001">
      <w:pPr>
        <w:pStyle w:val="13"/>
        <w:widowControl/>
        <w:autoSpaceDE/>
        <w:autoSpaceDN/>
        <w:ind w:left="720" w:right="145"/>
        <w:rPr>
          <w:rFonts w:ascii="Arial" w:hAnsi="Arial" w:eastAsia="Calibri" w:cs="Arial"/>
          <w:sz w:val="21"/>
          <w:szCs w:val="21"/>
          <w:lang w:val="pt-BR"/>
        </w:rPr>
      </w:pPr>
    </w:p>
    <w:p w14:paraId="3F7CD990">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33B34540">
      <w:pPr>
        <w:pStyle w:val="13"/>
        <w:widowControl/>
        <w:autoSpaceDE/>
        <w:autoSpaceDN/>
        <w:ind w:left="720" w:right="145"/>
        <w:rPr>
          <w:rFonts w:ascii="Arial" w:hAnsi="Arial" w:eastAsia="Calibri" w:cs="Arial"/>
          <w:bCs/>
          <w:lang w:val="pt-BR"/>
        </w:rPr>
      </w:pPr>
    </w:p>
    <w:p w14:paraId="7F747D37">
      <w:pPr>
        <w:pStyle w:val="13"/>
        <w:widowControl/>
        <w:numPr>
          <w:ilvl w:val="0"/>
          <w:numId w:val="14"/>
        </w:numPr>
        <w:autoSpaceDE/>
        <w:autoSpaceDN/>
        <w:ind w:right="145"/>
        <w:rPr>
          <w:rFonts w:ascii="Arial" w:hAnsi="Arial" w:eastAsia="Calibri" w:cs="Arial"/>
          <w:bCs/>
          <w:lang w:val="pt-BR"/>
        </w:rPr>
      </w:pPr>
      <w:r>
        <w:rPr>
          <w:rFonts w:ascii="Arial" w:hAnsi="Arial" w:eastAsia="Calibri" w:cs="Arial"/>
          <w:bCs/>
          <w:lang w:val="pt-BR"/>
        </w:rPr>
        <w:t>(     ) Certidão negativa de falência expedida pelo distribuidor da sede do fornecedor - Lei nº 14.133, de 2021, art. 69, caput, inciso II);</w:t>
      </w:r>
    </w:p>
    <w:p w14:paraId="6F94887B">
      <w:pPr>
        <w:pStyle w:val="2"/>
        <w:spacing w:line="360" w:lineRule="auto"/>
        <w:ind w:left="720" w:right="-29"/>
        <w:jc w:val="both"/>
        <w:rPr>
          <w:rFonts w:ascii="Times New Roman" w:hAnsi="Times New Roman" w:eastAsia="SimSun" w:cs="Times New Roman"/>
          <w:b w:val="0"/>
          <w:bCs w:val="0"/>
          <w:sz w:val="24"/>
          <w:szCs w:val="24"/>
          <w:lang w:val="pt-BR" w:eastAsia="zh-CN"/>
        </w:rPr>
      </w:pPr>
    </w:p>
    <w:p w14:paraId="2BDA9428">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5. Modelo de execução do objeto: </w:t>
      </w:r>
    </w:p>
    <w:p w14:paraId="6D87BA39">
      <w:pPr>
        <w:pStyle w:val="2"/>
        <w:spacing w:line="360" w:lineRule="auto"/>
        <w:ind w:left="0" w:right="-29" w:firstLine="72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Mandar uma lâmpada modelo tipo para teste no prazo máximo de 5 dias úteis e após confirmação do fiscal fazer Entrega única no prazo de até 15 dias corridos, com garantia de qualidade de mínimo 1 ano e suporte técnico.</w:t>
      </w:r>
    </w:p>
    <w:p w14:paraId="7244E33D">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6. Modelo de gestão do contrato: </w:t>
      </w:r>
    </w:p>
    <w:p w14:paraId="48C9E4BB">
      <w:pPr>
        <w:widowControl/>
        <w:adjustRightInd w:val="0"/>
        <w:ind w:right="145"/>
        <w:jc w:val="both"/>
        <w:rPr>
          <w:rFonts w:ascii="Arial" w:hAnsi="Arial" w:eastAsia="Calibri" w:cs="Arial"/>
          <w:color w:val="000000"/>
          <w:lang w:val="pt-BR"/>
        </w:rPr>
      </w:pPr>
    </w:p>
    <w:p w14:paraId="0458BBF2">
      <w:pPr>
        <w:widowControl/>
        <w:pBdr>
          <w:top w:val="single" w:color="auto" w:sz="4" w:space="1"/>
          <w:left w:val="single" w:color="auto" w:sz="4" w:space="4"/>
          <w:bottom w:val="single" w:color="auto" w:sz="4" w:space="1"/>
          <w:right w:val="single" w:color="auto" w:sz="4" w:space="4"/>
        </w:pBdr>
        <w:shd w:val="clear" w:color="auto" w:fill="E6E6E6"/>
        <w:autoSpaceDE/>
        <w:autoSpaceDN/>
        <w:ind w:right="145"/>
        <w:jc w:val="both"/>
        <w:rPr>
          <w:rFonts w:ascii="Arial" w:hAnsi="Arial" w:eastAsia="Calibri" w:cs="Arial"/>
          <w:b/>
          <w:lang w:val="pt-BR"/>
        </w:rPr>
      </w:pPr>
      <w:r>
        <w:rPr>
          <w:rFonts w:ascii="Arial" w:hAnsi="Arial" w:eastAsia="Calibri" w:cs="Arial"/>
          <w:b/>
          <w:lang w:val="pt-BR"/>
        </w:rPr>
        <w:t xml:space="preserve">ACOMPANHAMENTO DA ENTREGA DO MATERIAL E FISCALIZAÇÃO E GESTÃO DO CONTRATO </w:t>
      </w:r>
    </w:p>
    <w:p w14:paraId="5B2ED681">
      <w:pPr>
        <w:widowControl/>
        <w:autoSpaceDE/>
        <w:autoSpaceDN/>
        <w:ind w:right="145"/>
        <w:jc w:val="both"/>
        <w:rPr>
          <w:rFonts w:ascii="Arial" w:hAnsi="Arial" w:eastAsia="Calibri" w:cs="Arial"/>
          <w:color w:val="000000"/>
          <w:lang w:val="pt-BR"/>
        </w:rPr>
      </w:pPr>
    </w:p>
    <w:p w14:paraId="2EE7F76B">
      <w:pPr>
        <w:pStyle w:val="22"/>
        <w:numPr>
          <w:ilvl w:val="1"/>
          <w:numId w:val="15"/>
        </w:numPr>
      </w:pPr>
      <w:r>
        <w:t>MODELO DE GESTÃO DO CONTRATO</w:t>
      </w:r>
    </w:p>
    <w:p w14:paraId="140B9492">
      <w:pPr>
        <w:pStyle w:val="23"/>
      </w:pPr>
      <w:r>
        <w:t>O contrato deverá ser executado fielmente pelas partes, de acordo com as cláusulas avençadas e as normas da Lei nº 14.133, de 2021, e cada parte responderá pelas consequências de sua inexecução total ou parcial.</w:t>
      </w:r>
    </w:p>
    <w:p w14:paraId="1B4F7092">
      <w:pPr>
        <w:pStyle w:val="23"/>
      </w:pPr>
      <w:r>
        <w:t>Em caso de impedimento, ordem de paralisação ou suspensão do contrato, o cronograma de execução será prorrogado automaticamente pelo tempo correspondente, anotadas tais circunstâncias mediante simples apostila.</w:t>
      </w:r>
    </w:p>
    <w:p w14:paraId="519E481C">
      <w:pPr>
        <w:pStyle w:val="23"/>
      </w:pPr>
      <w:r>
        <w:t>As comunicações entre o órgão ou entidade e a contratada devem ser realizadas por escrito sempre que o ato exigir tal formalidade, admitindo-se o uso de mensagem eletrônica para esse fim.</w:t>
      </w:r>
    </w:p>
    <w:p w14:paraId="4041476B">
      <w:pPr>
        <w:pStyle w:val="23"/>
      </w:pPr>
      <w:r>
        <w:t>órgão ou entidade poderá convocar representante da empresa para adoção de providências que devam ser cumpridas de imediato.</w:t>
      </w:r>
    </w:p>
    <w:p w14:paraId="235DA745">
      <w:pPr>
        <w:pStyle w:val="23"/>
        <w:rPr>
          <w:i/>
        </w:rPr>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AE6BBE9">
      <w:pPr>
        <w:widowControl/>
        <w:autoSpaceDE/>
        <w:autoSpaceDN/>
        <w:ind w:right="145"/>
        <w:jc w:val="both"/>
        <w:rPr>
          <w:rFonts w:ascii="Arial" w:hAnsi="Arial" w:eastAsia="Calibri" w:cs="Arial"/>
          <w:color w:val="000000"/>
          <w:lang w:val="pt-BR"/>
        </w:rPr>
      </w:pPr>
    </w:p>
    <w:p w14:paraId="60C3BC2C">
      <w:pPr>
        <w:widowControl/>
        <w:autoSpaceDE/>
        <w:autoSpaceDN/>
        <w:ind w:right="145"/>
        <w:jc w:val="both"/>
        <w:rPr>
          <w:rFonts w:ascii="Arial" w:hAnsi="Arial" w:eastAsia="Calibri" w:cs="Arial"/>
          <w:b/>
          <w:color w:val="000000"/>
          <w:lang w:val="pt-BR"/>
        </w:rPr>
      </w:pPr>
      <w:r>
        <w:rPr>
          <w:rFonts w:ascii="Arial" w:hAnsi="Arial" w:eastAsia="Calibri" w:cs="Arial"/>
          <w:b/>
          <w:color w:val="000000"/>
          <w:lang w:val="pt-BR"/>
        </w:rPr>
        <w:t xml:space="preserve">REPRESENTANTE DA ADMINISTRAÇÃO PARA O RECEBIMENTO, ACOMPANHAMENTO FISCALIZAÇÃO: </w:t>
      </w:r>
    </w:p>
    <w:p w14:paraId="5016DEB7">
      <w:pPr>
        <w:widowControl/>
        <w:autoSpaceDE/>
        <w:autoSpaceDN/>
        <w:ind w:right="145"/>
        <w:jc w:val="both"/>
        <w:rPr>
          <w:rFonts w:ascii="Arial" w:hAnsi="Arial" w:eastAsia="Calibri" w:cs="Arial"/>
          <w:b/>
          <w:color w:val="000000"/>
          <w:lang w:val="pt-BR"/>
        </w:rPr>
      </w:pPr>
    </w:p>
    <w:p w14:paraId="186B008E">
      <w:pPr>
        <w:widowControl/>
        <w:autoSpaceDE/>
        <w:autoSpaceDN/>
        <w:ind w:right="145"/>
        <w:jc w:val="both"/>
        <w:rPr>
          <w:rFonts w:ascii="Arial" w:hAnsi="Arial" w:eastAsia="Calibri" w:cs="Arial"/>
          <w:b/>
          <w:color w:val="000000"/>
          <w:u w:val="single"/>
          <w:lang w:val="pt-BR"/>
        </w:rPr>
      </w:pPr>
      <w:r>
        <w:rPr>
          <w:rFonts w:ascii="Arial" w:hAnsi="Arial" w:eastAsia="Calibri" w:cs="Arial"/>
          <w:b/>
          <w:color w:val="000000"/>
          <w:u w:val="single"/>
          <w:lang w:val="pt-BR"/>
        </w:rPr>
        <w:t>GESTOR DO CONTRATO</w:t>
      </w:r>
    </w:p>
    <w:p w14:paraId="5C00F48B">
      <w:pPr>
        <w:widowControl/>
        <w:adjustRightInd w:val="0"/>
        <w:ind w:right="145"/>
        <w:jc w:val="both"/>
        <w:rPr>
          <w:rFonts w:ascii="Arial" w:hAnsi="Arial" w:eastAsia="Calibri" w:cs="Arial"/>
          <w:color w:val="000000"/>
          <w:lang w:val="it-IT" w:eastAsia="pt-BR"/>
        </w:rPr>
      </w:pPr>
      <w:r>
        <w:rPr>
          <w:rFonts w:ascii="Arial" w:hAnsi="Arial" w:eastAsia="Calibri" w:cs="Arial"/>
          <w:b/>
          <w:color w:val="000000"/>
          <w:lang w:val="it-IT" w:eastAsia="pt-BR"/>
        </w:rPr>
        <w:t>Nome do servidor: Breno Henrique Souza Cintra</w:t>
      </w:r>
      <w:r>
        <w:rPr>
          <w:rFonts w:ascii="Arial" w:hAnsi="Arial" w:eastAsia="Calibri" w:cs="Arial"/>
          <w:b/>
          <w:color w:val="000000"/>
          <w:lang w:val="it-IT" w:eastAsia="pt-BR"/>
        </w:rPr>
        <w:tab/>
      </w:r>
    </w:p>
    <w:p w14:paraId="2BB251BD">
      <w:pPr>
        <w:widowControl/>
        <w:adjustRightInd w:val="0"/>
        <w:ind w:right="145"/>
        <w:jc w:val="both"/>
        <w:rPr>
          <w:rFonts w:ascii="Arial" w:hAnsi="Arial" w:eastAsia="Calibri" w:cs="Arial"/>
          <w:color w:val="000000"/>
          <w:lang w:val="it-IT" w:eastAsia="pt-BR"/>
        </w:rPr>
      </w:pPr>
      <w:r>
        <w:rPr>
          <w:rFonts w:ascii="Arial" w:hAnsi="Arial" w:eastAsia="Calibri" w:cs="Arial"/>
          <w:b/>
          <w:color w:val="000000"/>
          <w:lang w:val="it-IT" w:eastAsia="pt-BR"/>
        </w:rPr>
        <w:t>CPF: 405.095.088-35</w:t>
      </w:r>
      <w:r>
        <w:rPr>
          <w:rFonts w:ascii="Arial" w:hAnsi="Arial" w:eastAsia="Calibri" w:cs="Arial"/>
          <w:b/>
          <w:color w:val="000000"/>
          <w:lang w:val="it-IT" w:eastAsia="pt-BR"/>
        </w:rPr>
        <w:tab/>
      </w:r>
      <w:r>
        <w:rPr>
          <w:rFonts w:ascii="Arial" w:hAnsi="Arial" w:eastAsia="Calibri" w:cs="Arial"/>
          <w:b/>
          <w:color w:val="000000"/>
          <w:lang w:val="it-IT" w:eastAsia="pt-BR"/>
        </w:rPr>
        <w:tab/>
      </w:r>
      <w:r>
        <w:rPr>
          <w:rFonts w:ascii="Arial" w:hAnsi="Arial" w:eastAsia="Calibri" w:cs="Arial"/>
          <w:b/>
          <w:color w:val="000000"/>
          <w:lang w:val="it-IT" w:eastAsia="pt-BR"/>
        </w:rPr>
        <w:tab/>
      </w:r>
      <w:r>
        <w:rPr>
          <w:rFonts w:ascii="Arial" w:hAnsi="Arial" w:eastAsia="Calibri" w:cs="Arial"/>
          <w:b/>
          <w:color w:val="000000"/>
          <w:lang w:val="it-IT" w:eastAsia="pt-BR"/>
        </w:rPr>
        <w:tab/>
      </w:r>
    </w:p>
    <w:p w14:paraId="72F67FF2">
      <w:pPr>
        <w:widowControl/>
        <w:adjustRightInd w:val="0"/>
        <w:ind w:right="145"/>
        <w:jc w:val="both"/>
        <w:rPr>
          <w:rFonts w:ascii="Arial" w:hAnsi="Arial" w:eastAsia="Calibri" w:cs="Arial"/>
          <w:b/>
          <w:color w:val="000000"/>
          <w:lang w:val="it-IT" w:eastAsia="pt-BR"/>
        </w:rPr>
      </w:pPr>
      <w:r>
        <w:rPr>
          <w:rFonts w:ascii="Arial" w:hAnsi="Arial" w:eastAsia="Calibri" w:cs="Arial"/>
          <w:b/>
          <w:color w:val="000000"/>
          <w:lang w:val="it-IT" w:eastAsia="pt-BR"/>
        </w:rPr>
        <w:t>Função/ Cargo: Técnico Contábil</w:t>
      </w:r>
    </w:p>
    <w:p w14:paraId="75976145">
      <w:pPr>
        <w:widowControl/>
        <w:adjustRightInd w:val="0"/>
        <w:ind w:right="145"/>
        <w:jc w:val="both"/>
        <w:rPr>
          <w:rFonts w:ascii="Arial" w:hAnsi="Arial" w:eastAsia="Calibri" w:cs="Arial"/>
          <w:b/>
          <w:color w:val="000000"/>
          <w:lang w:val="it-IT" w:eastAsia="pt-BR"/>
        </w:rPr>
      </w:pPr>
    </w:p>
    <w:p w14:paraId="4B7B85BB">
      <w:pPr>
        <w:widowControl/>
        <w:adjustRightInd w:val="0"/>
        <w:ind w:right="145"/>
        <w:jc w:val="both"/>
        <w:rPr>
          <w:rFonts w:ascii="Arial" w:hAnsi="Arial" w:eastAsia="Calibri" w:cs="Arial"/>
          <w:b/>
          <w:color w:val="000000"/>
          <w:lang w:val="it-IT" w:eastAsia="pt-BR"/>
        </w:rPr>
      </w:pPr>
      <w:r>
        <w:rPr>
          <w:rFonts w:ascii="Arial" w:hAnsi="Arial" w:eastAsia="Calibri" w:cs="Arial"/>
          <w:b/>
          <w:color w:val="000000"/>
          <w:lang w:val="it-IT" w:eastAsia="pt-BR"/>
        </w:rPr>
        <w:t>FISCAL DO CONTRATO</w:t>
      </w:r>
    </w:p>
    <w:p w14:paraId="3D748922">
      <w:pPr>
        <w:spacing w:line="360" w:lineRule="auto"/>
        <w:rPr>
          <w:rFonts w:ascii="Arial" w:hAnsi="Arial" w:eastAsia="Calibri" w:cs="Arial"/>
          <w:b/>
          <w:color w:val="000000"/>
          <w:lang w:val="it-IT" w:eastAsia="pt-BR"/>
        </w:rPr>
      </w:pPr>
      <w:r>
        <w:rPr>
          <w:rFonts w:ascii="Arial" w:hAnsi="Arial" w:eastAsia="Calibri" w:cs="Arial"/>
          <w:b/>
          <w:color w:val="000000"/>
          <w:lang w:val="it-IT" w:eastAsia="pt-BR"/>
        </w:rPr>
        <w:t>Nome do servidor: Oscar Luiz Berti</w:t>
      </w:r>
      <w:r>
        <w:rPr>
          <w:rFonts w:ascii="Arial" w:hAnsi="Arial" w:eastAsia="Calibri" w:cs="Arial"/>
          <w:b/>
          <w:color w:val="000000"/>
          <w:lang w:val="it-IT" w:eastAsia="pt-BR"/>
        </w:rPr>
        <w:tab/>
      </w:r>
      <w:r>
        <w:rPr>
          <w:rFonts w:ascii="Arial" w:hAnsi="Arial" w:eastAsia="Calibri" w:cs="Arial"/>
          <w:b/>
          <w:color w:val="000000"/>
          <w:lang w:val="it-IT" w:eastAsia="pt-BR"/>
        </w:rPr>
        <w:tab/>
      </w:r>
      <w:r>
        <w:rPr>
          <w:rFonts w:ascii="Arial" w:hAnsi="Arial" w:eastAsia="Calibri" w:cs="Arial"/>
          <w:b/>
          <w:color w:val="000000"/>
          <w:lang w:val="it-IT" w:eastAsia="pt-BR"/>
        </w:rPr>
        <w:tab/>
      </w:r>
    </w:p>
    <w:p w14:paraId="1EE14D0E">
      <w:pPr>
        <w:spacing w:after="240" w:line="360" w:lineRule="auto"/>
        <w:rPr>
          <w:rFonts w:ascii="Arial" w:hAnsi="Arial" w:eastAsia="Calibri" w:cs="Arial"/>
          <w:b/>
          <w:color w:val="000000"/>
          <w:lang w:val="it-IT" w:eastAsia="pt-BR"/>
        </w:rPr>
      </w:pPr>
      <w:r>
        <w:rPr>
          <w:rFonts w:ascii="Arial" w:hAnsi="Arial" w:eastAsia="Calibri" w:cs="Arial"/>
          <w:b/>
          <w:color w:val="000000"/>
          <w:lang w:val="it-IT" w:eastAsia="pt-BR"/>
        </w:rPr>
        <w:t>Função/ Cargo: Secretário Municipal De Obras</w:t>
      </w:r>
    </w:p>
    <w:p w14:paraId="79E237EC">
      <w:pPr>
        <w:pStyle w:val="23"/>
      </w:pPr>
      <w:r>
        <w:t>acompanhamento e fiscalização da execução do contrato consiste na verificação da conformidade da prestação dos serviços, dos materiais, técnicas e equipamentos empregados, de forma a assegurar o perfeito cumprimento do ajuste, que serão execidos por um ou mais representantes da Contratante, especialmente designados, na forma dos artigos 117 e 140 da Lei nº 14.133/21.</w:t>
      </w:r>
    </w:p>
    <w:p w14:paraId="76885723">
      <w:pPr>
        <w:widowControl/>
        <w:adjustRightInd w:val="0"/>
        <w:ind w:right="145"/>
        <w:jc w:val="both"/>
        <w:rPr>
          <w:rFonts w:ascii="Arial" w:hAnsi="Arial" w:eastAsia="Calibri" w:cs="Arial"/>
          <w:color w:val="000000"/>
          <w:lang w:val="it-IT" w:eastAsia="pt-BR"/>
        </w:rPr>
      </w:pPr>
    </w:p>
    <w:p w14:paraId="6783C409">
      <w:pPr>
        <w:pStyle w:val="23"/>
      </w:pPr>
      <w:r>
        <w:t>O contrato deverá ser executado fielmente pelas partes, de acordo com as cláusulas avençadas e as normas da Lei nº 14.133, de 2021, e cada parte responderá pelas consequências de sua inexecução total ou parcial (Lei nº 14.133/2021, art. 115, caput).</w:t>
      </w:r>
    </w:p>
    <w:p w14:paraId="450483E2">
      <w:pPr>
        <w:widowControl/>
        <w:adjustRightInd w:val="0"/>
        <w:ind w:right="145"/>
        <w:jc w:val="both"/>
        <w:rPr>
          <w:rFonts w:ascii="Arial" w:hAnsi="Arial" w:eastAsia="Calibri" w:cs="Arial"/>
          <w:color w:val="000000"/>
          <w:lang w:val="pt-BR" w:eastAsia="pt-BR"/>
        </w:rPr>
      </w:pPr>
    </w:p>
    <w:p w14:paraId="59443D2E">
      <w:pPr>
        <w:pStyle w:val="23"/>
      </w:pPr>
      <w:r>
        <w:t xml:space="preserve">A execução do contrato deverá ser acompanhada e fiscalizada pelo(s) fiscal(is) do contrato, ou pelos respectivos substitutos (Lei nº 14.133/2021, art. 117, caput). </w:t>
      </w:r>
    </w:p>
    <w:p w14:paraId="29EC03E0">
      <w:pPr>
        <w:widowControl/>
        <w:adjustRightInd w:val="0"/>
        <w:ind w:right="145"/>
        <w:jc w:val="both"/>
        <w:rPr>
          <w:rFonts w:ascii="Arial" w:hAnsi="Arial" w:eastAsia="Calibri" w:cs="Arial"/>
          <w:color w:val="000000"/>
          <w:lang w:val="pt-BR" w:eastAsia="pt-BR"/>
        </w:rPr>
      </w:pPr>
    </w:p>
    <w:p w14:paraId="5E5D6D02">
      <w:pPr>
        <w:pStyle w:val="23"/>
      </w:pPr>
      <w:r>
        <w:t xml:space="preserve">O fiscal do contrato anotará em registro próprio todas as ocorrências relacionadas à execução do contrato, determinando o que for necessário para a regularização das faltas ou dos defeitos observados (Lei nº 14.133/2021, art. 117, §1º). </w:t>
      </w:r>
    </w:p>
    <w:p w14:paraId="412BCE40">
      <w:pPr>
        <w:widowControl/>
        <w:adjustRightInd w:val="0"/>
        <w:ind w:right="145"/>
        <w:jc w:val="both"/>
        <w:rPr>
          <w:rFonts w:ascii="Arial" w:hAnsi="Arial" w:eastAsia="Calibri" w:cs="Arial"/>
          <w:color w:val="000000"/>
          <w:lang w:val="pt-BR" w:eastAsia="pt-BR"/>
        </w:rPr>
      </w:pPr>
    </w:p>
    <w:p w14:paraId="48945600">
      <w:pPr>
        <w:pStyle w:val="23"/>
      </w:pPr>
      <w:r>
        <w:t xml:space="preserve">O fiscal do contrato informará a seus superiores, em tempo hábil para a adoção das medidas convenientes, a situação que demandar decisão ou providência que ultrapasse sua competência (Lei nº 14.133/2021, art. 117, §2º). </w:t>
      </w:r>
    </w:p>
    <w:p w14:paraId="7DB4154A">
      <w:pPr>
        <w:widowControl/>
        <w:adjustRightInd w:val="0"/>
        <w:ind w:right="145"/>
        <w:jc w:val="both"/>
        <w:rPr>
          <w:rFonts w:ascii="Arial" w:hAnsi="Arial" w:eastAsia="Calibri" w:cs="Arial"/>
          <w:color w:val="000000"/>
          <w:lang w:val="pt-BR" w:eastAsia="pt-BR"/>
        </w:rPr>
      </w:pPr>
    </w:p>
    <w:p w14:paraId="00A1A92E">
      <w:pPr>
        <w:pStyle w:val="23"/>
      </w:pPr>
      <w:r>
        <w:t xml:space="preserve">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54E3EF66">
      <w:pPr>
        <w:widowControl/>
        <w:adjustRightInd w:val="0"/>
        <w:ind w:right="145"/>
        <w:jc w:val="both"/>
        <w:rPr>
          <w:rFonts w:ascii="Arial" w:hAnsi="Arial" w:eastAsia="Calibri" w:cs="Arial"/>
          <w:color w:val="000000"/>
          <w:lang w:val="pt-BR" w:eastAsia="pt-BR"/>
        </w:rPr>
      </w:pPr>
    </w:p>
    <w:p w14:paraId="476403E8">
      <w:pPr>
        <w:pStyle w:val="23"/>
      </w:pPr>
      <w:r>
        <w:t xml:space="preserve">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62F6B724">
      <w:pPr>
        <w:widowControl/>
        <w:adjustRightInd w:val="0"/>
        <w:ind w:right="145"/>
        <w:jc w:val="both"/>
        <w:rPr>
          <w:rFonts w:ascii="Arial" w:hAnsi="Arial" w:eastAsia="Calibri" w:cs="Arial"/>
          <w:color w:val="000000"/>
          <w:lang w:val="pt-BR" w:eastAsia="pt-BR"/>
        </w:rPr>
      </w:pPr>
    </w:p>
    <w:p w14:paraId="2DDCD471">
      <w:pPr>
        <w:pStyle w:val="23"/>
      </w:pPr>
      <w:r>
        <w:t xml:space="preserve">Somente o contratado será responsável pelos encargos trabalhistas, previdenciários, fiscais e comerciais resultantes da execução do contrato (Lei nº 14.133/2021, art. 121, caput). </w:t>
      </w:r>
    </w:p>
    <w:p w14:paraId="0BCED044">
      <w:pPr>
        <w:widowControl/>
        <w:adjustRightInd w:val="0"/>
        <w:ind w:right="145"/>
        <w:jc w:val="both"/>
        <w:rPr>
          <w:rFonts w:ascii="Arial" w:hAnsi="Arial" w:eastAsia="Calibri" w:cs="Arial"/>
          <w:color w:val="000000"/>
          <w:lang w:val="pt-BR" w:eastAsia="pt-BR"/>
        </w:rPr>
      </w:pPr>
    </w:p>
    <w:p w14:paraId="181872AF">
      <w:pPr>
        <w:pStyle w:val="23"/>
      </w:pPr>
      <w:r>
        <w:t xml:space="preserve">A inadimplência do contratado em relação aos encargos trabalhistas, fiscais e comerciais não transferirá à Administração a responsabilidade pelo seu pagamento e não poderá onerar o objeto do contrato (Lei nº 14.133/2021, art. 121, §1º). </w:t>
      </w:r>
    </w:p>
    <w:p w14:paraId="7CF45CF7">
      <w:pPr>
        <w:widowControl/>
        <w:adjustRightInd w:val="0"/>
        <w:ind w:right="145"/>
        <w:jc w:val="both"/>
        <w:rPr>
          <w:rFonts w:ascii="Arial" w:hAnsi="Arial" w:eastAsia="Calibri" w:cs="Arial"/>
          <w:color w:val="000000"/>
          <w:lang w:val="pt-BR" w:eastAsia="pt-BR"/>
        </w:rPr>
      </w:pPr>
    </w:p>
    <w:p w14:paraId="459F752E">
      <w:pPr>
        <w:pStyle w:val="23"/>
      </w:pPr>
      <w:r>
        <w:t>As comunicações entre o órgão ou entidade e a contratada devem ser realizadas por escrito sempre que o ato exigir tal formalidade.</w:t>
      </w:r>
    </w:p>
    <w:p w14:paraId="115F2C85">
      <w:pPr>
        <w:widowControl/>
        <w:adjustRightInd w:val="0"/>
        <w:ind w:right="145"/>
        <w:jc w:val="both"/>
        <w:rPr>
          <w:rFonts w:ascii="Arial" w:hAnsi="Arial" w:eastAsia="Calibri" w:cs="Arial"/>
          <w:color w:val="000000"/>
          <w:lang w:val="it-IT" w:eastAsia="pt-BR"/>
        </w:rPr>
      </w:pPr>
    </w:p>
    <w:p w14:paraId="0B3BB6BF">
      <w:pPr>
        <w:widowControl/>
        <w:adjustRightInd w:val="0"/>
        <w:ind w:right="145"/>
        <w:jc w:val="both"/>
        <w:rPr>
          <w:rFonts w:ascii="Arial" w:hAnsi="Arial" w:eastAsia="Calibri" w:cs="Arial"/>
          <w:color w:val="000000"/>
          <w:lang w:val="it-IT" w:eastAsia="pt-BR"/>
        </w:rPr>
      </w:pPr>
      <w:r>
        <w:rPr>
          <w:rFonts w:ascii="Arial" w:hAnsi="Arial" w:eastAsia="Calibri" w:cs="Arial"/>
          <w:color w:val="000000"/>
          <w:lang w:val="it-IT" w:eastAsia="pt-BR"/>
        </w:rPr>
        <w:t>GESTÃO DO CONTRATO</w:t>
      </w:r>
    </w:p>
    <w:p w14:paraId="0CDE7B5B">
      <w:pPr>
        <w:pStyle w:val="25"/>
        <w:rPr>
          <w:rFonts w:eastAsia="Calibri"/>
          <w:b w:val="0"/>
          <w:color w:val="000000"/>
          <w:sz w:val="22"/>
          <w:szCs w:val="22"/>
        </w:rPr>
      </w:pPr>
      <w:r>
        <w:rPr>
          <w:rFonts w:eastAsia="Calibri"/>
          <w:b w:val="0"/>
          <w:color w:val="000000"/>
          <w:sz w:val="22"/>
          <w:szCs w:val="22"/>
        </w:rPr>
        <w:t>Gestor do Contrato</w:t>
      </w:r>
    </w:p>
    <w:p w14:paraId="4E2F0DDA">
      <w:pPr>
        <w:pStyle w:val="23"/>
      </w:pPr>
      <w:r>
        <w:t>Cabe ao gestor do contrato:</w:t>
      </w:r>
    </w:p>
    <w:p w14:paraId="7E333C15">
      <w:pPr>
        <w:pStyle w:val="23"/>
      </w:pPr>
      <w: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E94F44F">
      <w:pPr>
        <w:pStyle w:val="23"/>
      </w:pPr>
      <w:r>
        <w:t>acompanhar os registros realizados pelos fiscais do contrato, de todas as ocorrências relacionadas à execução do contrato e as medidas adotadas, informando, se for o caso, à autoridade superior àquelas que ultrapassarem a sua competência.</w:t>
      </w:r>
    </w:p>
    <w:p w14:paraId="036D25C9">
      <w:pPr>
        <w:pStyle w:val="23"/>
      </w:pPr>
      <w:r>
        <w:t>acompanhar a manutenção das condições de habilitação da contratada, para fins de empenho de despesa e pagamento, e anotará os problemas que obstem o fluxo normal da liquidação e do pagamento da despesa no relatório de riscos eventuais.</w:t>
      </w:r>
    </w:p>
    <w:p w14:paraId="0D4F5482">
      <w:pPr>
        <w:pStyle w:val="23"/>
      </w:pPr>
      <w: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769B374">
      <w:pPr>
        <w:pStyle w:val="23"/>
      </w:pPr>
      <w: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D1633C4">
      <w:pPr>
        <w:pStyle w:val="23"/>
      </w:pPr>
      <w:r>
        <w:t>elaborar relatório final com informações sobre a consecução dos objetivos que tenham justificado a contratação e eventuais condutas a serem adotadas para o aprimoramento das atividades da Administração.</w:t>
      </w:r>
    </w:p>
    <w:p w14:paraId="4B5D5ED4">
      <w:pPr>
        <w:pStyle w:val="23"/>
      </w:pPr>
      <w:r>
        <w:t>enviar a documentação pertinente ao setor de contratos para a formalização dos procedimentos de liquidação e pagamento, no valor dimensionado pela fiscalização e gestão nos termos do contrato.</w:t>
      </w:r>
    </w:p>
    <w:p w14:paraId="6F5B13C9">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7. Critérios de medição e pagamento: </w:t>
      </w:r>
    </w:p>
    <w:p w14:paraId="35141639">
      <w:pPr>
        <w:pStyle w:val="23"/>
      </w:pPr>
      <w:r>
        <w:t>O prazo para pagamento será de até 20 (vinte) dias após a entrega da Nota Fiscal devidamente atestada pelo setor competente.</w:t>
      </w:r>
    </w:p>
    <w:p w14:paraId="0655ADFB">
      <w:pPr>
        <w:pStyle w:val="23"/>
      </w:pPr>
      <w:r>
        <w:t>Para pagamento, a empresa deverá apresentar ao Departamento de Tesouraria, Secretaria Municipal de Saúde, e/ou departamento de Compras, a nota fiscal e/ou fatura do(s) produto(s) ou serviço(s) entregue(s) de acordo com o respectivo empenho, devendo ser emitida em nome do Município de Rifaina, e conter o número do empenho ou processo licitatório correspondente.</w:t>
      </w:r>
    </w:p>
    <w:p w14:paraId="3FDDFA7E">
      <w:pPr>
        <w:pStyle w:val="23"/>
      </w:pPr>
      <w:r>
        <w:t>O pagamento somente será efetuado após o “atesto”, pelo servidor competente, da Nota Fiscal/Fatura apresentada pela Contratada.</w:t>
      </w:r>
    </w:p>
    <w:p w14:paraId="36294A27">
      <w:pPr>
        <w:pStyle w:val="23"/>
      </w:pPr>
      <w:r>
        <w:t>O “atesto” fica condicionado à verificação da conformidade da Nota Fiscal/Fatura apresentada pela Contratada e do regular cumprimento das obrigações assumidas.</w:t>
      </w:r>
    </w:p>
    <w:p w14:paraId="6B3D7157">
      <w:pPr>
        <w:pStyle w:val="23"/>
      </w:pPr>
      <w: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F87F630">
      <w:pPr>
        <w:pStyle w:val="23"/>
      </w:pPr>
      <w:r>
        <w:t>O pagamento será efetuado por meio de Ordem Bancária de Crédito, mediante depósito em conta corrente, na agência e estabelecimento bancário indicado pela Contratada, ou por outro meio previsto na legislação vigente.</w:t>
      </w:r>
    </w:p>
    <w:p w14:paraId="2374679A">
      <w:pPr>
        <w:pStyle w:val="23"/>
      </w:pPr>
      <w:r>
        <w:t>Será considerada data do pagamento o dia em que constar como emitida a ordem bancária para pagamento.</w:t>
      </w:r>
    </w:p>
    <w:p w14:paraId="68D66B38">
      <w:pPr>
        <w:pStyle w:val="23"/>
      </w:pPr>
      <w:r>
        <w:t>A Contratante não se responsabilizará por qualquer despesa que venha a ser efetuada pela Contratada, que porventura não tenha sido acordada no contrato.</w:t>
      </w:r>
    </w:p>
    <w:p w14:paraId="0F325964">
      <w:pPr>
        <w:pStyle w:val="23"/>
      </w:pPr>
      <w:r>
        <w:t>Na eventualidade de aplicação de multas, estas deverão ser liquidadas simultaneamente com parcela vinculada ao evento cujo descumprimento der origem à aplicação da penalidade.</w:t>
      </w:r>
    </w:p>
    <w:p w14:paraId="1242FB12">
      <w:pPr>
        <w:pStyle w:val="23"/>
      </w:pPr>
      <w:r>
        <w:t>O CNPJ/CPF da Contratada constante da nota fiscal e fatura deverá ser o mesmo da documentação apresentada no procedimento licitatório.</w:t>
      </w:r>
    </w:p>
    <w:p w14:paraId="2EA69AA3">
      <w:pPr>
        <w:pStyle w:val="23"/>
      </w:pPr>
      <w:r>
        <w:t>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7E0C33E1">
      <w:pPr>
        <w:pStyle w:val="23"/>
      </w:pPr>
      <w:r>
        <w:t>Prazo de troca de bens rejeitados: Não se Aplica</w:t>
      </w:r>
    </w:p>
    <w:p w14:paraId="352F2F35">
      <w:pPr>
        <w:pStyle w:val="23"/>
      </w:pPr>
      <w:r>
        <w:t>Prazo de recebimento definitivo do objeto/serviço: Não se Aplica</w:t>
      </w:r>
    </w:p>
    <w:p w14:paraId="6E32D074">
      <w:pPr>
        <w:pStyle w:val="23"/>
      </w:pPr>
      <w:r>
        <w:t>Prazo de liquidação do documento fiscal: 10 dias</w:t>
      </w:r>
    </w:p>
    <w:p w14:paraId="2E73E7EE">
      <w:pPr>
        <w:pStyle w:val="23"/>
      </w:pPr>
      <w:r>
        <w:t>Prazo de pagamento: 20 dias após execução do serviço</w:t>
      </w:r>
    </w:p>
    <w:p w14:paraId="043B9D3F">
      <w:pPr>
        <w:pStyle w:val="23"/>
        <w:numPr>
          <w:ilvl w:val="0"/>
          <w:numId w:val="0"/>
        </w:numPr>
        <w:ind w:left="360"/>
      </w:pPr>
    </w:p>
    <w:p w14:paraId="00E01058">
      <w:pPr>
        <w:spacing w:line="276" w:lineRule="auto"/>
        <w:jc w:val="both"/>
        <w:rPr>
          <w:rFonts w:ascii="Arial" w:hAnsi="Arial" w:eastAsia="Calibri" w:cs="Arial"/>
          <w:bCs/>
          <w:color w:val="000000"/>
          <w:lang w:val="pt-BR"/>
        </w:rPr>
      </w:pPr>
    </w:p>
    <w:p w14:paraId="34FC6C58">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8. Forma e critérios de seleção: </w:t>
      </w:r>
    </w:p>
    <w:p w14:paraId="6CE4614B">
      <w:pPr>
        <w:pStyle w:val="2"/>
        <w:spacing w:line="360" w:lineRule="auto"/>
        <w:ind w:left="0" w:right="-29" w:firstLine="720"/>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Licitação pelo critério de menor preço global, conforme a Lei 14.133/2021.</w:t>
      </w:r>
    </w:p>
    <w:p w14:paraId="2362E271">
      <w:pPr>
        <w:widowControl/>
        <w:pBdr>
          <w:top w:val="single" w:color="auto" w:sz="4" w:space="1"/>
          <w:left w:val="single" w:color="auto" w:sz="4" w:space="4"/>
          <w:bottom w:val="single" w:color="auto" w:sz="4" w:space="1"/>
          <w:right w:val="single" w:color="auto" w:sz="4" w:space="4"/>
        </w:pBdr>
        <w:shd w:val="clear" w:color="auto" w:fill="E6E6E6"/>
        <w:autoSpaceDE/>
        <w:autoSpaceDN/>
        <w:ind w:right="145"/>
        <w:jc w:val="both"/>
        <w:rPr>
          <w:rFonts w:ascii="Arial" w:hAnsi="Arial" w:eastAsia="Calibri" w:cs="Arial"/>
          <w:b/>
          <w:lang w:val="pt-BR"/>
        </w:rPr>
      </w:pPr>
      <w:r>
        <w:rPr>
          <w:rFonts w:ascii="Arial" w:hAnsi="Arial" w:eastAsia="Calibri" w:cs="Arial"/>
          <w:b/>
          <w:lang w:val="pt-BR"/>
        </w:rPr>
        <w:t>RESPONSABILIDADES DA CONTRATANTE</w:t>
      </w:r>
    </w:p>
    <w:p w14:paraId="2395D39B">
      <w:pPr>
        <w:widowControl/>
        <w:autoSpaceDE/>
        <w:autoSpaceDN/>
        <w:ind w:right="145"/>
        <w:jc w:val="both"/>
        <w:rPr>
          <w:rFonts w:ascii="Arial" w:hAnsi="Arial" w:eastAsia="Calibri" w:cs="Arial"/>
          <w:color w:val="000000"/>
          <w:lang w:val="pt-BR"/>
        </w:rPr>
      </w:pPr>
    </w:p>
    <w:p w14:paraId="45E3B0E2">
      <w:pPr>
        <w:widowControl/>
        <w:tabs>
          <w:tab w:val="left" w:pos="-426"/>
        </w:tabs>
        <w:autoSpaceDE/>
        <w:autoSpaceDN/>
        <w:spacing w:after="200" w:line="276" w:lineRule="auto"/>
        <w:ind w:right="145"/>
        <w:jc w:val="both"/>
        <w:rPr>
          <w:rFonts w:ascii="Arial" w:hAnsi="Arial" w:eastAsia="Calibri" w:cs="Arial"/>
          <w:bCs/>
          <w:lang w:val="pt-BR"/>
        </w:rPr>
      </w:pPr>
      <w:r>
        <w:rPr>
          <w:rFonts w:ascii="Arial" w:hAnsi="Arial" w:eastAsia="Calibri" w:cs="Arial"/>
          <w:bCs/>
          <w:lang w:val="pt-BR"/>
        </w:rPr>
        <w:t>Obriga-se a Administração/Contratante:</w:t>
      </w:r>
    </w:p>
    <w:p w14:paraId="4B05A432">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comunicar a Contratada toda e quaisquer ocorrências relacionadas ao objeto entregue/executado;</w:t>
      </w:r>
    </w:p>
    <w:p w14:paraId="3278E0B1">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efetuar o pagamento da Contratada de acordo com a forma de pagamento estipulada na licitação e  no Contrato;</w:t>
      </w:r>
    </w:p>
    <w:p w14:paraId="6250A790">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promover o acompanhamento e a fiscalização do fornecimento/prestação dos serviços, sob os aspectos qualitativo e quantitativo, anotando em registro próprio as falhas e solicitando as medidas corretivas;</w:t>
      </w:r>
    </w:p>
    <w:p w14:paraId="4B39212B">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rejeitar, no todo ou em parte, o objeto entregue pela Contratada fora das especificações do contrato;</w:t>
      </w:r>
    </w:p>
    <w:p w14:paraId="69BA5100">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observar para que durante a vigência do Contrato sejam cumpridas as obrigações assumidas pela Contratada, bem como sejam mantidas todas as condições de habilitação e qualificação exigidas na licitação;</w:t>
      </w:r>
    </w:p>
    <w:p w14:paraId="2BC259CC">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aplicar as sanções administrativas, quando se fizerem necessárias;</w:t>
      </w:r>
    </w:p>
    <w:p w14:paraId="59FBB70E">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prestar à CONTRATADA informações e esclarecimentos que venham a ser solicitados;</w:t>
      </w:r>
    </w:p>
    <w:p w14:paraId="28AA8D06">
      <w:pPr>
        <w:widowControl/>
        <w:numPr>
          <w:ilvl w:val="0"/>
          <w:numId w:val="16"/>
        </w:numPr>
        <w:tabs>
          <w:tab w:val="left" w:pos="-426"/>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demais condições constantes do edital de licitação.</w:t>
      </w:r>
    </w:p>
    <w:p w14:paraId="7FC57D94">
      <w:pPr>
        <w:widowControl/>
        <w:pBdr>
          <w:top w:val="single" w:color="auto" w:sz="4" w:space="1"/>
          <w:left w:val="single" w:color="auto" w:sz="4" w:space="4"/>
          <w:bottom w:val="single" w:color="auto" w:sz="4" w:space="1"/>
          <w:right w:val="single" w:color="auto" w:sz="4" w:space="4"/>
        </w:pBdr>
        <w:shd w:val="clear" w:color="auto" w:fill="E6E6E6"/>
        <w:autoSpaceDE/>
        <w:autoSpaceDN/>
        <w:ind w:right="145"/>
        <w:jc w:val="both"/>
        <w:rPr>
          <w:rFonts w:ascii="Arial" w:hAnsi="Arial" w:eastAsia="Calibri" w:cs="Arial"/>
          <w:b/>
          <w:lang w:val="pt-BR"/>
        </w:rPr>
      </w:pPr>
      <w:r>
        <w:rPr>
          <w:rFonts w:ascii="Arial" w:hAnsi="Arial" w:eastAsia="Calibri" w:cs="Arial"/>
          <w:b/>
          <w:lang w:val="pt-BR"/>
        </w:rPr>
        <w:t>RESPONSABILIDADES DA CONTRATADA</w:t>
      </w:r>
    </w:p>
    <w:p w14:paraId="566F8D60">
      <w:pPr>
        <w:widowControl/>
        <w:autoSpaceDE/>
        <w:autoSpaceDN/>
        <w:ind w:right="145"/>
        <w:jc w:val="both"/>
        <w:rPr>
          <w:rFonts w:ascii="Arial" w:hAnsi="Arial" w:eastAsia="Calibri" w:cs="Arial"/>
          <w:color w:val="000000"/>
          <w:lang w:val="pt-BR"/>
        </w:rPr>
      </w:pPr>
    </w:p>
    <w:p w14:paraId="108F8A66">
      <w:pPr>
        <w:widowControl/>
        <w:tabs>
          <w:tab w:val="left" w:pos="-284"/>
        </w:tabs>
        <w:autoSpaceDE/>
        <w:autoSpaceDN/>
        <w:spacing w:after="200" w:line="276" w:lineRule="auto"/>
        <w:ind w:right="145"/>
        <w:jc w:val="both"/>
        <w:rPr>
          <w:rFonts w:ascii="Arial" w:hAnsi="Arial" w:eastAsia="Calibri" w:cs="Arial"/>
          <w:bCs/>
          <w:lang w:val="pt-BR"/>
        </w:rPr>
      </w:pPr>
      <w:r>
        <w:rPr>
          <w:rFonts w:ascii="Arial" w:hAnsi="Arial" w:eastAsia="Calibri" w:cs="Arial"/>
          <w:bCs/>
          <w:lang w:val="pt-BR"/>
        </w:rPr>
        <w:t>Obriga-se a empresa vencedora:</w:t>
      </w:r>
    </w:p>
    <w:p w14:paraId="6DBD1B75">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atender a todas as solicitações de contratação efetuadas durante a vigência do Contrato ou Ata de Registro de Preços, limitada ao quantitativo de cada item;</w:t>
      </w:r>
    </w:p>
    <w:p w14:paraId="0AD33E62">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ao fornecimento/execução do objeto, de acordo com as especificações constantes no Edital, em consonância com a proposta apresentada e com a qualidade e especificações determinadas pela legislação em vigor;</w:t>
      </w:r>
    </w:p>
    <w:p w14:paraId="650CF836">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responsabilizar-se pela boa execução e eficiência no fornecimento do produto/execução do serviço objeto do edital;</w:t>
      </w:r>
    </w:p>
    <w:p w14:paraId="3D9B1BD0">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reparar, corrigir, remover as suas expensas, no todo ou em parte o(s) objeto(s) em que se verifiquem danos em decorrência do transporte, bem como, providenciar a imediata substituição dos mesmos;</w:t>
      </w:r>
    </w:p>
    <w:p w14:paraId="0286DF7F">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providenciar a imediata correção das deficiências apontadas pelo contratante quando da entrega do produto/execução do serviço;</w:t>
      </w:r>
    </w:p>
    <w:p w14:paraId="0B38B1F4">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apresentar, sempre que solicitado documentos que comprovem a procedência do produto fornecido, assim como amostra para análise pela Administração, sem qualquer ônus adicional;</w:t>
      </w:r>
    </w:p>
    <w:p w14:paraId="190F9491">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não subcontratar, ceder ou transferir, total ou parcialmente, o objeto do contrato ou da Ata de Registro de Preços, sem previa autorização da contratante;</w:t>
      </w:r>
    </w:p>
    <w:p w14:paraId="05C34E9E">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manter, durante a vigência do contrato ou do Registro de Preços, todas as condições de habilitação e qualificações exigidas na licitação;</w:t>
      </w:r>
    </w:p>
    <w:p w14:paraId="30ABC6B9">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a estender aos contratos objeto da Ata, os benefícios e promoções oferecidas aos demais clientes da contratada;</w:t>
      </w:r>
    </w:p>
    <w:p w14:paraId="48F375B2">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responsabilizar-se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3EF6FEA0">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responsabilizar-se por todas e quaisquer despesas, inclusive, despesa de natureza previdenciária, fiscal, trabalhista ou civil, bem como emolumentos, ônus ou encargos de qualquer espécie e origem, pertinentes à execução do objeto contratado;</w:t>
      </w:r>
    </w:p>
    <w:p w14:paraId="249310E6">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mesmo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8FC1A0D">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manter endereço eletrônico (e-mail) válido para fins de comunicação com a contratante por todo o período de contratação; comunicando, imediatamente, o Contratante em caso de alteração.</w:t>
      </w:r>
    </w:p>
    <w:p w14:paraId="62A43021">
      <w:pPr>
        <w:widowControl/>
        <w:numPr>
          <w:ilvl w:val="0"/>
          <w:numId w:val="17"/>
        </w:numPr>
        <w:tabs>
          <w:tab w:val="left" w:pos="-284"/>
        </w:tabs>
        <w:autoSpaceDE/>
        <w:autoSpaceDN/>
        <w:spacing w:before="120" w:after="200" w:line="276" w:lineRule="auto"/>
        <w:ind w:left="0" w:right="145"/>
        <w:jc w:val="both"/>
        <w:rPr>
          <w:rFonts w:ascii="Arial" w:hAnsi="Arial" w:eastAsia="Calibri" w:cs="Arial"/>
          <w:bCs/>
          <w:lang w:val="pt-BR"/>
        </w:rPr>
      </w:pPr>
      <w:r>
        <w:rPr>
          <w:rFonts w:ascii="Arial" w:hAnsi="Arial" w:eastAsia="Calibri" w:cs="Arial"/>
          <w:bCs/>
          <w:lang w:val="pt-BR"/>
        </w:rPr>
        <w:t xml:space="preserve">a empresa deverá no prazo de até 05 dias apresentar uma amostra do produto antes de enviar a quantidade total após ser avaliado e aprovado pela contratada. </w:t>
      </w:r>
    </w:p>
    <w:p w14:paraId="3A803E0A">
      <w:pPr>
        <w:widowControl/>
        <w:pBdr>
          <w:top w:val="single" w:color="auto" w:sz="4" w:space="1"/>
          <w:left w:val="single" w:color="auto" w:sz="4" w:space="4"/>
          <w:bottom w:val="single" w:color="auto" w:sz="4" w:space="1"/>
          <w:right w:val="single" w:color="auto" w:sz="4" w:space="0"/>
        </w:pBdr>
        <w:shd w:val="clear" w:color="auto" w:fill="E6E6E6"/>
        <w:autoSpaceDE/>
        <w:autoSpaceDN/>
        <w:ind w:right="145"/>
        <w:jc w:val="both"/>
        <w:rPr>
          <w:rFonts w:ascii="Arial" w:hAnsi="Arial" w:eastAsia="Calibri" w:cs="Arial"/>
          <w:b/>
          <w:lang w:val="pt-BR"/>
        </w:rPr>
      </w:pPr>
      <w:r>
        <w:rPr>
          <w:rFonts w:ascii="Arial" w:hAnsi="Arial" w:eastAsia="Calibri" w:cs="Arial"/>
          <w:b/>
          <w:lang w:val="pt-BR"/>
        </w:rPr>
        <w:t>DISPOSIÇÕES GERAIS/INFORMAÇÕES COMPLEMENTARES</w:t>
      </w:r>
    </w:p>
    <w:p w14:paraId="64D8CCE3">
      <w:pPr>
        <w:widowControl/>
        <w:autoSpaceDE/>
        <w:autoSpaceDN/>
        <w:ind w:right="145" w:firstLine="708"/>
        <w:jc w:val="both"/>
        <w:rPr>
          <w:rFonts w:ascii="Arial" w:hAnsi="Arial" w:eastAsia="Calibri" w:cs="Arial"/>
          <w:bCs/>
          <w:color w:val="000000"/>
          <w:lang w:val="pt-BR"/>
        </w:rPr>
      </w:pPr>
    </w:p>
    <w:p w14:paraId="6C3916B3">
      <w:pPr>
        <w:pStyle w:val="23"/>
      </w:pPr>
      <w:r>
        <w:t>A Fundamentação da Contratação e seus quantitativos encontram-se pormenorizada em Tópico específico dos Estudos Técnicos Preliminares, apêndice deste Termo de Referência.</w:t>
      </w:r>
    </w:p>
    <w:p w14:paraId="6528C2FE">
      <w:pPr>
        <w:widowControl/>
        <w:autoSpaceDE/>
        <w:autoSpaceDN/>
        <w:ind w:right="145"/>
        <w:jc w:val="both"/>
        <w:rPr>
          <w:rFonts w:ascii="Arial" w:hAnsi="Arial" w:eastAsia="Calibri" w:cs="Arial"/>
          <w:lang w:val="pt-BR"/>
        </w:rPr>
      </w:pPr>
    </w:p>
    <w:p w14:paraId="67CD6EC0">
      <w:pPr>
        <w:pStyle w:val="23"/>
        <w:rPr>
          <w:bCs/>
        </w:rPr>
      </w:pPr>
      <w:r>
        <w:t>A descrição da solução como um todo, encontra-se pormenorizada em tópico específico dos Estudos Técnicos Preliminares, apêndice deste Termo de Referência.</w:t>
      </w:r>
    </w:p>
    <w:p w14:paraId="308CC4B3">
      <w:pPr>
        <w:pStyle w:val="2"/>
        <w:spacing w:line="360" w:lineRule="auto"/>
        <w:ind w:left="0" w:right="-29" w:firstLine="720"/>
        <w:jc w:val="both"/>
        <w:rPr>
          <w:rFonts w:ascii="Times New Roman" w:hAnsi="Times New Roman" w:eastAsia="SimSun" w:cs="Times New Roman"/>
          <w:b w:val="0"/>
          <w:bCs w:val="0"/>
          <w:sz w:val="24"/>
          <w:szCs w:val="24"/>
          <w:lang w:val="pt-BR" w:eastAsia="zh-CN"/>
        </w:rPr>
      </w:pPr>
    </w:p>
    <w:p w14:paraId="29EEC657">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9. Estimativa do valor da contratação: </w:t>
      </w:r>
    </w:p>
    <w:p w14:paraId="10756B51">
      <w:pPr>
        <w:pStyle w:val="2"/>
        <w:spacing w:line="360" w:lineRule="auto"/>
        <w:ind w:left="0" w:right="-29" w:firstLine="72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Valor total estimado em R$ 50.808,00, conforme levantamento de mercado e Relatório de Cotação.</w:t>
      </w:r>
    </w:p>
    <w:p w14:paraId="34DD5211">
      <w:pPr>
        <w:pStyle w:val="2"/>
        <w:spacing w:line="276" w:lineRule="auto"/>
        <w:ind w:left="0" w:right="-29" w:firstLine="720"/>
        <w:jc w:val="both"/>
        <w:rPr>
          <w:rFonts w:ascii="Times New Roman" w:hAnsi="Times New Roman" w:eastAsia="SimSun" w:cs="Times New Roman"/>
          <w:b w:val="0"/>
          <w:bCs w:val="0"/>
          <w:sz w:val="24"/>
          <w:szCs w:val="24"/>
          <w:lang w:eastAsia="zh-CN"/>
        </w:rPr>
      </w:pPr>
      <w:r>
        <w:rPr>
          <w:rFonts w:ascii="Times New Roman" w:hAnsi="Times New Roman" w:eastAsia="SimSun" w:cs="Times New Roman"/>
          <w:b w:val="0"/>
          <w:bCs w:val="0"/>
          <w:sz w:val="24"/>
          <w:szCs w:val="24"/>
          <w:lang w:eastAsia="zh-CN"/>
        </w:rPr>
        <w:t xml:space="preserve">Em conformidade com o Artigo 32 do Decreto 1.441/2024, Capítulo III, Seção II, a pesquisa de preços para fins de determinação do preço estimado na contratação direta para a aquisição de bens e contratação de serviços em geral, consolidada em mapa comparativo, será realizada mediante a utilização dos seguintes parâmetros, de forma combinada ou não: </w:t>
      </w:r>
      <w:r>
        <w:rPr>
          <w:rFonts w:ascii="Times New Roman" w:hAnsi="Times New Roman" w:eastAsia="SimSun" w:cs="Times New Roman"/>
          <w:b w:val="0"/>
          <w:bCs w:val="0"/>
          <w:color w:val="FF0000"/>
          <w:sz w:val="24"/>
          <w:szCs w:val="24"/>
          <w:lang w:eastAsia="zh-CN"/>
        </w:rPr>
        <w:t>(nesse caso de forma não combinada inciso III )</w:t>
      </w:r>
      <w:r>
        <w:rPr>
          <w:rFonts w:ascii="Times New Roman" w:hAnsi="Times New Roman" w:eastAsia="SimSun" w:cs="Times New Roman"/>
          <w:b w:val="0"/>
          <w:bCs w:val="0"/>
          <w:sz w:val="24"/>
          <w:szCs w:val="24"/>
          <w:lang w:eastAsia="zh-CN"/>
        </w:rPr>
        <w:t xml:space="preserve"> . </w:t>
      </w:r>
    </w:p>
    <w:p w14:paraId="5BCBF477">
      <w:pPr>
        <w:pStyle w:val="2"/>
        <w:spacing w:line="360" w:lineRule="auto"/>
        <w:ind w:left="0" w:right="-29" w:firstLine="720"/>
        <w:jc w:val="both"/>
        <w:rPr>
          <w:rFonts w:ascii="Times New Roman" w:hAnsi="Times New Roman" w:eastAsia="SimSun" w:cs="Times New Roman"/>
          <w:b w:val="0"/>
          <w:bCs w:val="0"/>
          <w:sz w:val="24"/>
          <w:szCs w:val="24"/>
          <w:lang w:eastAsia="zh-CN"/>
        </w:rPr>
      </w:pPr>
      <w:r>
        <w:rPr>
          <w:rFonts w:ascii="Times New Roman" w:hAnsi="Times New Roman" w:eastAsia="SimSun" w:cs="Times New Roman"/>
          <w:b w:val="0"/>
          <w:bCs w:val="0"/>
          <w:sz w:val="24"/>
          <w:szCs w:val="24"/>
          <w:lang w:eastAsia="zh-CN"/>
        </w:rPr>
        <w:t>Art. 34 Para os fins do §1º do art. 32, considera-se:</w:t>
      </w:r>
    </w:p>
    <w:p w14:paraId="0EE8DEAA">
      <w:pPr>
        <w:pStyle w:val="2"/>
        <w:spacing w:line="360" w:lineRule="auto"/>
        <w:ind w:left="0" w:right="-29"/>
        <w:jc w:val="both"/>
        <w:rPr>
          <w:rFonts w:ascii="Times New Roman" w:hAnsi="Times New Roman" w:eastAsia="SimSun" w:cs="Times New Roman"/>
          <w:b w:val="0"/>
          <w:bCs w:val="0"/>
          <w:sz w:val="24"/>
          <w:szCs w:val="24"/>
          <w:lang w:eastAsia="zh-CN"/>
        </w:rPr>
      </w:pPr>
      <w:r>
        <w:rPr>
          <w:rFonts w:ascii="Times New Roman" w:hAnsi="Times New Roman" w:eastAsia="SimSun" w:cs="Times New Roman"/>
          <w:b w:val="0"/>
          <w:bCs w:val="0"/>
          <w:sz w:val="24"/>
          <w:szCs w:val="24"/>
          <w:lang w:eastAsia="zh-CN"/>
        </w:rPr>
        <w:t xml:space="preserve"> I - média: obtida somando os valores de todos os dados e dividindo a soma pelo número de dados. </w:t>
      </w:r>
    </w:p>
    <w:p w14:paraId="682A3644">
      <w:pPr>
        <w:pStyle w:val="2"/>
        <w:spacing w:line="360" w:lineRule="auto"/>
        <w:ind w:left="0" w:right="-29"/>
        <w:jc w:val="both"/>
        <w:rPr>
          <w:rFonts w:ascii="Times New Roman" w:hAnsi="Times New Roman" w:eastAsia="SimSun" w:cs="Times New Roman"/>
          <w:b w:val="0"/>
          <w:bCs w:val="0"/>
          <w:sz w:val="24"/>
          <w:szCs w:val="24"/>
          <w:lang w:eastAsia="zh-CN"/>
        </w:rPr>
      </w:pPr>
      <w:r>
        <w:rPr>
          <w:rFonts w:ascii="Times New Roman" w:hAnsi="Times New Roman" w:eastAsia="SimSun" w:cs="Times New Roman"/>
          <w:b w:val="0"/>
          <w:bCs w:val="0"/>
          <w:sz w:val="24"/>
          <w:szCs w:val="24"/>
          <w:lang w:eastAsia="zh-CN"/>
        </w:rPr>
        <w:t xml:space="preserve">II - Contratações similares de outros entes públicos, em execução ou concluídos nos 180 (cento e oitenta) dias anteriores à data da pesquisa de preços; </w:t>
      </w:r>
    </w:p>
    <w:p w14:paraId="4C445034">
      <w:pPr>
        <w:pStyle w:val="2"/>
        <w:spacing w:line="360" w:lineRule="auto"/>
        <w:ind w:left="0" w:right="-29"/>
        <w:jc w:val="both"/>
        <w:rPr>
          <w:rFonts w:ascii="Times New Roman" w:hAnsi="Times New Roman" w:eastAsia="SimSun" w:cs="Times New Roman"/>
          <w:b w:val="0"/>
          <w:bCs w:val="0"/>
          <w:color w:val="FF0000"/>
          <w:sz w:val="24"/>
          <w:szCs w:val="24"/>
          <w:lang w:eastAsia="zh-CN"/>
        </w:rPr>
      </w:pPr>
      <w:r>
        <w:rPr>
          <w:rFonts w:ascii="Times New Roman" w:hAnsi="Times New Roman" w:eastAsia="SimSun" w:cs="Times New Roman"/>
          <w:b w:val="0"/>
          <w:bCs w:val="0"/>
          <w:color w:val="FF0000"/>
          <w:sz w:val="24"/>
          <w:szCs w:val="24"/>
          <w:lang w:eastAsia="zh-CN"/>
        </w:rPr>
        <w:t>III - Pesquisa publicada em mídia especializada, sítios eletrônicos especializados ou de domínio amplo, desde que contenha a data e hora de acesso;</w:t>
      </w:r>
    </w:p>
    <w:p w14:paraId="70347BE7">
      <w:pPr>
        <w:pStyle w:val="2"/>
        <w:spacing w:line="360" w:lineRule="auto"/>
        <w:ind w:left="0" w:right="-29"/>
        <w:jc w:val="both"/>
        <w:rPr>
          <w:rFonts w:ascii="Times New Roman" w:hAnsi="Times New Roman" w:eastAsia="SimSun" w:cs="Times New Roman"/>
          <w:b w:val="0"/>
          <w:bCs w:val="0"/>
          <w:color w:val="FF0000"/>
          <w:sz w:val="24"/>
          <w:szCs w:val="24"/>
          <w:lang w:eastAsia="zh-CN"/>
        </w:rPr>
      </w:pPr>
    </w:p>
    <w:p w14:paraId="51477F22">
      <w:pPr>
        <w:pStyle w:val="2"/>
        <w:spacing w:line="48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10. Adequação orçamentária: </w:t>
      </w:r>
    </w:p>
    <w:p w14:paraId="086A9075">
      <w:pPr>
        <w:spacing w:line="480" w:lineRule="auto"/>
        <w:ind w:firstLine="720"/>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As despesas provenientes da execução do Contrato correrão por conta das Dotações Orçamentárias próprias, consignadas nos orçamentos da Unidade Gestora Central – Prefeitura de Rifaina ou dos Fundos Especiais, durante a vigência da presente contratação, nos termos que segue, de acordo com o Parecer Contábil:</w:t>
      </w:r>
    </w:p>
    <w:p w14:paraId="70A68B29">
      <w:pPr>
        <w:spacing w:line="480" w:lineRule="auto"/>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02 18 SECRETARIA MUNICIPAL DE OBRAS</w:t>
      </w:r>
    </w:p>
    <w:p w14:paraId="2FA0CB86">
      <w:pPr>
        <w:spacing w:line="480" w:lineRule="auto"/>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021801 OBRAS E SERVIÇOS URBANOS</w:t>
      </w:r>
    </w:p>
    <w:p w14:paraId="7E9B8615">
      <w:pPr>
        <w:spacing w:line="480" w:lineRule="auto"/>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15 452 0045 2042 0000 Ampliação e Manutenção dos Serviços e Infraestrutura Urbana</w:t>
      </w:r>
    </w:p>
    <w:p w14:paraId="3766FD58">
      <w:pPr>
        <w:spacing w:line="480" w:lineRule="auto"/>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3.3.90.30.00 MATERIAL DE CONSUMO</w:t>
      </w:r>
    </w:p>
    <w:p w14:paraId="0ABA414D">
      <w:pPr>
        <w:spacing w:line="480" w:lineRule="auto"/>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4.4.90.52.00 EQUIPAMENTOS E MATERIAL PERMANENTE</w:t>
      </w:r>
    </w:p>
    <w:p w14:paraId="06F51634">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11. Especificação do produto: </w:t>
      </w:r>
    </w:p>
    <w:p w14:paraId="2A7F0874">
      <w:pPr>
        <w:pStyle w:val="2"/>
        <w:spacing w:line="360" w:lineRule="auto"/>
        <w:ind w:left="0" w:right="-29" w:firstLine="72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Conforme descrição no DFD e no Relatório de Cotação.</w:t>
      </w:r>
    </w:p>
    <w:p w14:paraId="4BD92BBF">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12. Locais de entrega: </w:t>
      </w:r>
    </w:p>
    <w:p w14:paraId="10A944F4">
      <w:pPr>
        <w:pStyle w:val="2"/>
        <w:spacing w:line="360" w:lineRule="auto"/>
        <w:ind w:left="0" w:right="-29" w:firstLine="72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Secretaria Municipal de obras, Rifaina-SP.</w:t>
      </w:r>
    </w:p>
    <w:p w14:paraId="179223ED">
      <w:pPr>
        <w:pStyle w:val="2"/>
        <w:spacing w:line="360" w:lineRule="auto"/>
        <w:ind w:left="0" w:right="-29"/>
        <w:jc w:val="both"/>
        <w:rPr>
          <w:rFonts w:ascii="Times New Roman" w:hAnsi="Times New Roman" w:eastAsia="SimSun" w:cs="Times New Roman"/>
          <w:sz w:val="24"/>
          <w:szCs w:val="24"/>
          <w:lang w:val="pt-BR" w:eastAsia="zh-CN"/>
        </w:rPr>
      </w:pPr>
      <w:r>
        <w:rPr>
          <w:rFonts w:ascii="Times New Roman" w:hAnsi="Times New Roman" w:eastAsia="SimSun" w:cs="Times New Roman"/>
          <w:sz w:val="24"/>
          <w:szCs w:val="24"/>
          <w:lang w:val="pt-BR" w:eastAsia="zh-CN"/>
        </w:rPr>
        <w:t xml:space="preserve">13. Garantia e manutenção: </w:t>
      </w:r>
    </w:p>
    <w:p w14:paraId="330F1F3C">
      <w:pPr>
        <w:pStyle w:val="2"/>
        <w:spacing w:line="360" w:lineRule="auto"/>
        <w:ind w:left="0" w:right="-29" w:firstLine="720"/>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Garantia mínima de 12 meses para todos os itens adquiridos.</w:t>
      </w:r>
    </w:p>
    <w:p w14:paraId="3324D1BD">
      <w:pPr>
        <w:pStyle w:val="2"/>
        <w:spacing w:line="360" w:lineRule="auto"/>
        <w:ind w:left="0" w:right="-29"/>
        <w:jc w:val="both"/>
        <w:rPr>
          <w:rFonts w:ascii="Times New Roman" w:hAnsi="Times New Roman" w:eastAsia="SimSun" w:cs="Times New Roman"/>
          <w:b w:val="0"/>
          <w:bCs w:val="0"/>
          <w:sz w:val="24"/>
          <w:szCs w:val="24"/>
          <w:lang w:val="pt-BR" w:eastAsia="zh-CN"/>
        </w:rPr>
      </w:pPr>
    </w:p>
    <w:p w14:paraId="6E7C97E0">
      <w:pPr>
        <w:pStyle w:val="2"/>
        <w:spacing w:line="360" w:lineRule="auto"/>
        <w:ind w:left="0" w:right="-29"/>
        <w:jc w:val="both"/>
        <w:rPr>
          <w:rFonts w:ascii="Times New Roman" w:hAnsi="Times New Roman" w:eastAsia="SimSun" w:cs="Times New Roman"/>
          <w:b w:val="0"/>
          <w:bCs w:val="0"/>
          <w:sz w:val="24"/>
          <w:szCs w:val="24"/>
          <w:lang w:val="pt-BR" w:eastAsia="zh-CN"/>
        </w:rPr>
      </w:pPr>
      <w:r>
        <w:rPr>
          <w:rFonts w:ascii="Times New Roman" w:hAnsi="Times New Roman" w:eastAsia="SimSun" w:cs="Times New Roman"/>
          <w:b w:val="0"/>
          <w:bCs w:val="0"/>
          <w:sz w:val="24"/>
          <w:szCs w:val="24"/>
          <w:lang w:val="pt-BR" w:eastAsia="zh-CN"/>
        </w:rPr>
        <w:t>Data: 22/04/2025</w:t>
      </w:r>
    </w:p>
    <w:p w14:paraId="084D9673">
      <w:pPr>
        <w:pStyle w:val="2"/>
        <w:ind w:right="-29" w:firstLine="720"/>
        <w:jc w:val="both"/>
        <w:rPr>
          <w:rFonts w:ascii="Times New Roman" w:hAnsi="Times New Roman" w:eastAsia="SimSun" w:cs="Times New Roman"/>
          <w:b w:val="0"/>
          <w:bCs w:val="0"/>
          <w:sz w:val="24"/>
          <w:szCs w:val="24"/>
          <w:lang w:val="pt-BR" w:eastAsia="zh-CN"/>
        </w:rPr>
      </w:pPr>
    </w:p>
    <w:p w14:paraId="05FDBE17">
      <w:pPr>
        <w:pStyle w:val="2"/>
        <w:ind w:right="-29" w:firstLine="720"/>
        <w:jc w:val="both"/>
        <w:rPr>
          <w:rFonts w:ascii="Times New Roman" w:hAnsi="Times New Roman" w:eastAsia="SimSun" w:cs="Times New Roman"/>
          <w:b w:val="0"/>
          <w:bCs w:val="0"/>
          <w:sz w:val="24"/>
          <w:szCs w:val="24"/>
          <w:lang w:val="pt-BR" w:eastAsia="zh-CN"/>
        </w:rPr>
      </w:pPr>
    </w:p>
    <w:p w14:paraId="16BAE6B8">
      <w:pPr>
        <w:pStyle w:val="2"/>
        <w:ind w:right="-29" w:firstLine="720"/>
        <w:jc w:val="both"/>
        <w:rPr>
          <w:rFonts w:ascii="Times New Roman" w:hAnsi="Times New Roman" w:eastAsia="SimSun" w:cs="Times New Roman"/>
          <w:b w:val="0"/>
          <w:bCs w:val="0"/>
          <w:sz w:val="24"/>
          <w:szCs w:val="24"/>
          <w:lang w:val="pt-BR" w:eastAsia="zh-CN"/>
        </w:rPr>
      </w:pPr>
    </w:p>
    <w:p w14:paraId="6448E153">
      <w:pPr>
        <w:pStyle w:val="2"/>
        <w:ind w:right="-29" w:firstLine="720"/>
        <w:jc w:val="both"/>
        <w:rPr>
          <w:rFonts w:ascii="Times New Roman" w:hAnsi="Times New Roman" w:eastAsia="SimSun" w:cs="Times New Roman"/>
          <w:b w:val="0"/>
          <w:bCs w:val="0"/>
          <w:sz w:val="24"/>
          <w:szCs w:val="24"/>
          <w:lang w:val="pt-BR" w:eastAsia="zh-CN"/>
        </w:rPr>
      </w:pPr>
    </w:p>
    <w:p w14:paraId="24117073">
      <w:pPr>
        <w:pStyle w:val="2"/>
        <w:ind w:right="-29" w:firstLine="720"/>
        <w:jc w:val="both"/>
        <w:rPr>
          <w:rFonts w:ascii="Times New Roman" w:hAnsi="Times New Roman" w:eastAsia="SimSun" w:cs="Times New Roman"/>
          <w:b w:val="0"/>
          <w:bCs w:val="0"/>
          <w:sz w:val="24"/>
          <w:szCs w:val="24"/>
          <w:lang w:val="pt-BR" w:eastAsia="zh-CN"/>
        </w:rPr>
      </w:pPr>
    </w:p>
    <w:p w14:paraId="2394057A">
      <w:pPr>
        <w:spacing w:after="270" w:line="480" w:lineRule="auto"/>
        <w:ind w:left="1440" w:firstLine="720"/>
        <w:rPr>
          <w:rFonts w:ascii="Arial" w:hAnsi="Arial" w:eastAsia="Times New Roman" w:cs="Arial"/>
          <w:color w:val="000000"/>
          <w:sz w:val="27"/>
          <w:szCs w:val="27"/>
          <w:lang w:eastAsia="pt-BR"/>
        </w:rPr>
      </w:pPr>
      <w:r>
        <w:rPr>
          <w:rFonts w:ascii="Arial" w:hAnsi="Arial" w:eastAsia="Times New Roman" w:cs="Arial"/>
          <w:color w:val="000000"/>
          <w:sz w:val="27"/>
          <w:szCs w:val="27"/>
          <w:lang w:eastAsia="pt-BR"/>
        </w:rPr>
        <w:t xml:space="preserve"> __________________________________</w:t>
      </w:r>
    </w:p>
    <w:p w14:paraId="00A2D38B">
      <w:pPr>
        <w:spacing w:line="360" w:lineRule="auto"/>
        <w:jc w:val="center"/>
        <w:rPr>
          <w:rFonts w:ascii="Arial" w:hAnsi="Arial" w:eastAsia="Times New Roman" w:cs="Arial"/>
          <w:b/>
          <w:bCs/>
          <w:color w:val="000000"/>
          <w:lang w:eastAsia="pt-BR"/>
        </w:rPr>
      </w:pPr>
      <w:r>
        <w:rPr>
          <w:rFonts w:ascii="Arial" w:hAnsi="Arial" w:cs="Arial"/>
          <w:b/>
          <w:bCs/>
          <w:sz w:val="24"/>
          <w:szCs w:val="24"/>
        </w:rPr>
        <w:t>OSCAR LUIZ BERTI</w:t>
      </w:r>
    </w:p>
    <w:p w14:paraId="019A3425">
      <w:pPr>
        <w:spacing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SECRETÁRIO MUNICIPAL DE OBRAS</w:t>
      </w:r>
      <w:bookmarkStart w:id="4" w:name="_GoBack"/>
      <w:bookmarkEnd w:id="4"/>
    </w:p>
    <w:p w14:paraId="13CF2F36">
      <w:pPr>
        <w:spacing w:line="360" w:lineRule="auto"/>
        <w:jc w:val="center"/>
        <w:rPr>
          <w:rFonts w:ascii="Arial" w:hAnsi="Arial" w:eastAsia="Times New Roman" w:cs="Arial"/>
          <w:b/>
          <w:color w:val="000000"/>
          <w:lang w:eastAsia="pt-BR"/>
        </w:rPr>
      </w:pPr>
    </w:p>
    <w:p w14:paraId="0E52D956">
      <w:pPr>
        <w:spacing w:line="360" w:lineRule="auto"/>
        <w:jc w:val="center"/>
        <w:rPr>
          <w:rFonts w:ascii="Arial" w:hAnsi="Arial" w:eastAsia="Times New Roman" w:cs="Arial"/>
          <w:b/>
          <w:color w:val="000000"/>
          <w:lang w:eastAsia="pt-BR"/>
        </w:rPr>
      </w:pPr>
      <w:r>
        <w:rPr>
          <w:rFonts w:ascii="Arial" w:hAnsi="Arial" w:eastAsia="Times New Roman" w:cs="Arial"/>
          <w:b/>
          <w:color w:val="000000"/>
          <w:lang w:eastAsia="pt-BR"/>
        </w:rPr>
        <w:t>__________________________________________</w:t>
      </w:r>
    </w:p>
    <w:p w14:paraId="1B68719A">
      <w:pPr>
        <w:spacing w:line="360" w:lineRule="auto"/>
        <w:jc w:val="center"/>
        <w:rPr>
          <w:rFonts w:ascii="Arial"/>
          <w:b/>
        </w:rPr>
      </w:pPr>
      <w:r>
        <w:rPr>
          <w:rFonts w:ascii="Arial"/>
          <w:b/>
        </w:rPr>
        <w:t>BRENO HENRIQUE SOUZA CINTRA</w:t>
      </w:r>
    </w:p>
    <w:p w14:paraId="22583FA6">
      <w:pPr>
        <w:spacing w:line="360" w:lineRule="auto"/>
        <w:jc w:val="center"/>
        <w:rPr>
          <w:rFonts w:ascii="Arial"/>
          <w:b/>
        </w:rPr>
      </w:pPr>
      <w:r>
        <w:rPr>
          <w:rFonts w:ascii="Arial"/>
          <w:bCs/>
        </w:rPr>
        <w:t xml:space="preserve"> </w:t>
      </w:r>
      <w:r>
        <w:rPr>
          <w:rFonts w:ascii="Arial"/>
          <w:b/>
        </w:rPr>
        <w:t>GESTOR DE CONTRATO</w:t>
      </w:r>
    </w:p>
    <w:p w14:paraId="7961DE3B">
      <w:pPr>
        <w:spacing w:line="360" w:lineRule="auto"/>
        <w:jc w:val="center"/>
        <w:rPr>
          <w:rFonts w:ascii="Arial"/>
          <w:b/>
        </w:rPr>
      </w:pPr>
    </w:p>
    <w:p w14:paraId="74BB64EB">
      <w:pPr>
        <w:spacing w:line="360" w:lineRule="auto"/>
        <w:jc w:val="center"/>
        <w:rPr>
          <w:rFonts w:ascii="Arial" w:hAnsi="Arial" w:eastAsia="Times New Roman" w:cs="Arial"/>
          <w:b/>
          <w:color w:val="000000"/>
          <w:lang w:eastAsia="pt-BR"/>
        </w:rPr>
      </w:pPr>
      <w:r>
        <w:rPr>
          <w:rFonts w:ascii="Arial" w:hAnsi="Arial" w:eastAsia="Times New Roman" w:cs="Arial"/>
          <w:b/>
          <w:color w:val="000000"/>
          <w:lang w:eastAsia="pt-BR"/>
        </w:rPr>
        <w:t>__________________________________________</w:t>
      </w:r>
    </w:p>
    <w:p w14:paraId="4D63E96D">
      <w:pPr>
        <w:spacing w:line="360" w:lineRule="auto"/>
        <w:jc w:val="center"/>
        <w:rPr>
          <w:rFonts w:ascii="Arial"/>
          <w:b/>
        </w:rPr>
      </w:pPr>
      <w:r>
        <w:rPr>
          <w:rFonts w:ascii="Arial"/>
          <w:b/>
        </w:rPr>
        <w:t xml:space="preserve">WILSON ALVES DA SILVA JUNIOR </w:t>
      </w:r>
    </w:p>
    <w:p w14:paraId="5BFB2719">
      <w:pPr>
        <w:spacing w:line="360" w:lineRule="auto"/>
        <w:jc w:val="center"/>
        <w:rPr>
          <w:rFonts w:ascii="Arial"/>
          <w:b/>
        </w:rPr>
      </w:pPr>
      <w:r>
        <w:rPr>
          <w:rFonts w:ascii="Arial"/>
          <w:b/>
        </w:rPr>
        <w:t>PREFEITO MUNICIPAL</w:t>
      </w:r>
    </w:p>
    <w:p w14:paraId="5F7F7630">
      <w:pPr>
        <w:spacing w:line="360" w:lineRule="auto"/>
        <w:jc w:val="center"/>
        <w:rPr>
          <w:rFonts w:ascii="Arial"/>
          <w:b/>
        </w:rPr>
      </w:pPr>
      <w:r>
        <w:rPr>
          <w:rFonts w:ascii="Arial"/>
          <w:b/>
        </w:rPr>
        <w:t>CPF: 877.004.096-68</w:t>
      </w:r>
    </w:p>
    <w:p w14:paraId="71DB5772">
      <w:pPr>
        <w:pStyle w:val="2"/>
        <w:spacing w:before="71"/>
        <w:ind w:left="0" w:right="889"/>
        <w:rPr>
          <w:spacing w:val="-10"/>
          <w:w w:val="115"/>
        </w:rPr>
      </w:pPr>
    </w:p>
    <w:p w14:paraId="171380D7">
      <w:pPr>
        <w:pStyle w:val="2"/>
        <w:spacing w:before="71"/>
        <w:ind w:left="0" w:right="889"/>
        <w:rPr>
          <w:spacing w:val="-10"/>
          <w:w w:val="115"/>
        </w:rPr>
      </w:pPr>
    </w:p>
    <w:p w14:paraId="5AE2CB45">
      <w:pPr>
        <w:pStyle w:val="2"/>
        <w:spacing w:before="71"/>
        <w:ind w:left="0" w:right="889"/>
        <w:rPr>
          <w:spacing w:val="-10"/>
          <w:w w:val="115"/>
        </w:rPr>
      </w:pPr>
    </w:p>
    <w:p w14:paraId="2B868B0E">
      <w:pPr>
        <w:pStyle w:val="2"/>
        <w:spacing w:before="71"/>
        <w:ind w:left="0" w:right="889"/>
        <w:rPr>
          <w:spacing w:val="-10"/>
          <w:w w:val="115"/>
        </w:rPr>
      </w:pPr>
    </w:p>
    <w:p w14:paraId="251FD389">
      <w:pPr>
        <w:pStyle w:val="2"/>
        <w:spacing w:before="71"/>
        <w:ind w:left="0" w:right="889"/>
        <w:rPr>
          <w:spacing w:val="-10"/>
          <w:w w:val="115"/>
        </w:rPr>
      </w:pPr>
    </w:p>
    <w:p w14:paraId="33167028">
      <w:pPr>
        <w:pStyle w:val="2"/>
        <w:spacing w:before="71"/>
        <w:ind w:left="0" w:right="889"/>
        <w:rPr>
          <w:spacing w:val="-10"/>
          <w:w w:val="115"/>
        </w:rPr>
      </w:pPr>
    </w:p>
    <w:p w14:paraId="1BDDFC11">
      <w:pPr>
        <w:pStyle w:val="2"/>
        <w:spacing w:before="71"/>
        <w:ind w:left="0" w:right="889"/>
        <w:rPr>
          <w:spacing w:val="-10"/>
          <w:w w:val="115"/>
        </w:rPr>
      </w:pPr>
    </w:p>
    <w:p w14:paraId="332094E4">
      <w:pPr>
        <w:pStyle w:val="2"/>
        <w:spacing w:before="71"/>
        <w:ind w:left="0" w:right="889"/>
        <w:rPr>
          <w:spacing w:val="-10"/>
          <w:w w:val="115"/>
        </w:rPr>
      </w:pPr>
    </w:p>
    <w:p w14:paraId="0D732CA0">
      <w:pPr>
        <w:pStyle w:val="2"/>
        <w:spacing w:before="71"/>
        <w:ind w:left="0" w:right="889"/>
        <w:rPr>
          <w:spacing w:val="-10"/>
          <w:w w:val="115"/>
        </w:rPr>
      </w:pPr>
    </w:p>
    <w:p w14:paraId="1F5A3571">
      <w:pPr>
        <w:pStyle w:val="2"/>
        <w:spacing w:before="71"/>
        <w:ind w:left="0" w:right="889"/>
        <w:rPr>
          <w:spacing w:val="-10"/>
          <w:w w:val="115"/>
        </w:rPr>
      </w:pPr>
    </w:p>
    <w:p w14:paraId="5F1FCB19">
      <w:pPr>
        <w:pStyle w:val="2"/>
        <w:spacing w:before="71"/>
        <w:ind w:left="0" w:right="889"/>
        <w:rPr>
          <w:spacing w:val="-10"/>
          <w:w w:val="115"/>
        </w:rPr>
      </w:pPr>
    </w:p>
    <w:p w14:paraId="50CE5072">
      <w:pPr>
        <w:pStyle w:val="2"/>
        <w:spacing w:before="71"/>
        <w:ind w:left="0" w:right="889"/>
        <w:rPr>
          <w:spacing w:val="-10"/>
          <w:w w:val="115"/>
        </w:rPr>
      </w:pPr>
    </w:p>
    <w:p w14:paraId="163542B7">
      <w:pPr>
        <w:pStyle w:val="2"/>
        <w:spacing w:before="71"/>
        <w:ind w:left="0" w:right="889"/>
        <w:rPr>
          <w:spacing w:val="-10"/>
          <w:w w:val="115"/>
        </w:rPr>
      </w:pPr>
    </w:p>
    <w:p w14:paraId="5ACA853B">
      <w:pPr>
        <w:pStyle w:val="2"/>
        <w:spacing w:before="71"/>
        <w:ind w:left="0" w:right="889"/>
        <w:rPr>
          <w:spacing w:val="-10"/>
          <w:w w:val="115"/>
        </w:rPr>
      </w:pPr>
    </w:p>
    <w:p w14:paraId="3708D779">
      <w:pPr>
        <w:pStyle w:val="2"/>
        <w:spacing w:before="71"/>
        <w:ind w:left="0" w:right="889"/>
        <w:rPr>
          <w:spacing w:val="-10"/>
          <w:w w:val="115"/>
        </w:rPr>
      </w:pPr>
    </w:p>
    <w:p w14:paraId="0E885A0D">
      <w:pPr>
        <w:pStyle w:val="2"/>
        <w:spacing w:before="71"/>
        <w:ind w:left="0" w:right="889"/>
        <w:rPr>
          <w:spacing w:val="-10"/>
          <w:w w:val="115"/>
        </w:rPr>
      </w:pPr>
    </w:p>
    <w:p w14:paraId="604B80FB">
      <w:pPr>
        <w:pStyle w:val="2"/>
        <w:spacing w:before="71"/>
        <w:ind w:left="0" w:right="889"/>
        <w:rPr>
          <w:spacing w:val="-10"/>
          <w:w w:val="115"/>
        </w:rPr>
      </w:pPr>
    </w:p>
    <w:p w14:paraId="38B87A60">
      <w:pPr>
        <w:pStyle w:val="2"/>
        <w:spacing w:before="71"/>
        <w:ind w:left="0" w:right="889"/>
        <w:rPr>
          <w:spacing w:val="-10"/>
          <w:w w:val="115"/>
        </w:rPr>
      </w:pPr>
    </w:p>
    <w:p w14:paraId="52055EF9">
      <w:pPr>
        <w:pStyle w:val="2"/>
        <w:spacing w:before="71"/>
        <w:ind w:left="0" w:right="889"/>
        <w:rPr>
          <w:spacing w:val="-10"/>
          <w:w w:val="115"/>
        </w:rPr>
      </w:pPr>
    </w:p>
    <w:p w14:paraId="35CFD106">
      <w:pPr>
        <w:pStyle w:val="2"/>
        <w:spacing w:before="71"/>
        <w:ind w:left="0" w:right="889"/>
        <w:rPr>
          <w:spacing w:val="-10"/>
          <w:w w:val="115"/>
        </w:rPr>
      </w:pPr>
    </w:p>
    <w:p w14:paraId="523650D1">
      <w:pPr>
        <w:pStyle w:val="2"/>
        <w:spacing w:before="71"/>
        <w:ind w:left="0" w:right="889"/>
        <w:rPr>
          <w:spacing w:val="-10"/>
          <w:w w:val="115"/>
        </w:rPr>
      </w:pPr>
    </w:p>
    <w:p w14:paraId="42967A59">
      <w:pPr>
        <w:pStyle w:val="2"/>
        <w:spacing w:before="71"/>
        <w:ind w:left="0" w:right="889"/>
        <w:rPr>
          <w:spacing w:val="-10"/>
          <w:w w:val="115"/>
        </w:rPr>
      </w:pPr>
    </w:p>
    <w:p w14:paraId="453D1C6F">
      <w:pPr>
        <w:pStyle w:val="2"/>
        <w:spacing w:before="71"/>
        <w:ind w:left="0" w:right="889"/>
        <w:rPr>
          <w:spacing w:val="-10"/>
          <w:w w:val="115"/>
        </w:rPr>
      </w:pPr>
    </w:p>
    <w:p w14:paraId="4375C88F">
      <w:pPr>
        <w:pStyle w:val="2"/>
        <w:spacing w:before="71"/>
        <w:ind w:left="0" w:right="889"/>
        <w:rPr>
          <w:spacing w:val="-10"/>
          <w:w w:val="115"/>
        </w:rPr>
      </w:pPr>
    </w:p>
    <w:p w14:paraId="3EA9D328">
      <w:pPr>
        <w:pStyle w:val="2"/>
        <w:spacing w:before="71"/>
        <w:ind w:left="0" w:right="889"/>
        <w:rPr>
          <w:spacing w:val="-10"/>
          <w:w w:val="115"/>
        </w:rPr>
      </w:pPr>
    </w:p>
    <w:p w14:paraId="657AAD57">
      <w:pPr>
        <w:pStyle w:val="2"/>
        <w:spacing w:before="71"/>
        <w:ind w:left="0" w:right="889"/>
        <w:rPr>
          <w:spacing w:val="-10"/>
          <w:w w:val="115"/>
        </w:rPr>
      </w:pPr>
    </w:p>
    <w:p w14:paraId="6C511BCD">
      <w:pPr>
        <w:pStyle w:val="2"/>
        <w:spacing w:before="71"/>
        <w:ind w:left="0" w:right="889"/>
        <w:rPr>
          <w:spacing w:val="-10"/>
          <w:w w:val="115"/>
        </w:rPr>
      </w:pPr>
    </w:p>
    <w:p w14:paraId="649DB6E5">
      <w:pPr>
        <w:pStyle w:val="2"/>
        <w:spacing w:before="71"/>
        <w:ind w:left="0" w:right="889"/>
        <w:rPr>
          <w:spacing w:val="-10"/>
          <w:w w:val="115"/>
        </w:rPr>
      </w:pPr>
    </w:p>
    <w:p w14:paraId="7F267872">
      <w:pPr>
        <w:pStyle w:val="2"/>
        <w:spacing w:before="71"/>
        <w:ind w:left="0" w:right="889"/>
        <w:rPr>
          <w:spacing w:val="-10"/>
          <w:w w:val="115"/>
        </w:rPr>
      </w:pPr>
    </w:p>
    <w:p w14:paraId="64B06D76">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64</w:t>
      </w:r>
      <w:r>
        <w:rPr>
          <w:b/>
          <w:bCs/>
        </w:rPr>
        <w:t>/2025 PROCESSO ADM N° 1</w:t>
      </w:r>
      <w:r>
        <w:rPr>
          <w:rFonts w:hint="default"/>
          <w:b/>
          <w:bCs/>
          <w:lang w:val="pt-BR"/>
        </w:rPr>
        <w:t>6</w:t>
      </w:r>
      <w:r>
        <w:rPr>
          <w:b/>
          <w:bCs/>
        </w:rPr>
        <w:t>5/2025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61DDC15">
      <w:pPr>
        <w:pStyle w:val="13"/>
        <w:rPr>
          <w:i/>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29C72213">
      <w:pPr>
        <w:rPr>
          <w:rFonts w:ascii="Times New Roman" w:hAnsi="Times New Roman"/>
          <w:b/>
        </w:rPr>
      </w:pPr>
    </w:p>
    <w:tbl>
      <w:tblPr>
        <w:tblStyle w:val="5"/>
        <w:tblpPr w:leftFromText="180" w:rightFromText="180" w:vertAnchor="text" w:horzAnchor="page" w:tblpX="554" w:tblpY="313"/>
        <w:tblOverlap w:val="never"/>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87"/>
        <w:gridCol w:w="850"/>
        <w:gridCol w:w="851"/>
        <w:gridCol w:w="992"/>
        <w:gridCol w:w="992"/>
        <w:gridCol w:w="992"/>
      </w:tblGrid>
      <w:tr w14:paraId="13F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10B0694C">
            <w:pPr>
              <w:ind w:hanging="2"/>
              <w:jc w:val="both"/>
              <w:rPr>
                <w:rFonts w:ascii="Times New Roman" w:hAnsi="Times New Roman"/>
              </w:rPr>
            </w:pPr>
            <w:r>
              <w:rPr>
                <w:rFonts w:ascii="Times New Roman" w:hAnsi="Times New Roman"/>
              </w:rPr>
              <w:t>ITEM</w:t>
            </w:r>
          </w:p>
        </w:tc>
        <w:tc>
          <w:tcPr>
            <w:tcW w:w="5387" w:type="dxa"/>
            <w:shd w:val="clear" w:color="auto" w:fill="auto"/>
          </w:tcPr>
          <w:p w14:paraId="46775F09">
            <w:pPr>
              <w:ind w:hanging="2"/>
              <w:jc w:val="both"/>
              <w:rPr>
                <w:rFonts w:ascii="Times New Roman" w:hAnsi="Times New Roman"/>
              </w:rPr>
            </w:pPr>
            <w:r>
              <w:rPr>
                <w:rFonts w:ascii="Times New Roman" w:hAnsi="Times New Roman"/>
              </w:rPr>
              <w:t>DESCRIÇÃO</w:t>
            </w:r>
          </w:p>
        </w:tc>
        <w:tc>
          <w:tcPr>
            <w:tcW w:w="850" w:type="dxa"/>
            <w:shd w:val="clear" w:color="auto" w:fill="auto"/>
          </w:tcPr>
          <w:p w14:paraId="31B263CC">
            <w:pPr>
              <w:ind w:hanging="2"/>
              <w:jc w:val="both"/>
              <w:rPr>
                <w:rFonts w:ascii="Times New Roman" w:hAnsi="Times New Roman"/>
              </w:rPr>
            </w:pPr>
            <w:r>
              <w:rPr>
                <w:rFonts w:ascii="Times New Roman" w:hAnsi="Times New Roman"/>
              </w:rPr>
              <w:t>UNID</w:t>
            </w:r>
          </w:p>
        </w:tc>
        <w:tc>
          <w:tcPr>
            <w:tcW w:w="851" w:type="dxa"/>
            <w:shd w:val="clear" w:color="auto" w:fill="auto"/>
          </w:tcPr>
          <w:p w14:paraId="5FA1BF8B">
            <w:pPr>
              <w:ind w:hanging="2"/>
              <w:jc w:val="both"/>
              <w:rPr>
                <w:rFonts w:ascii="Times New Roman" w:hAnsi="Times New Roman"/>
              </w:rPr>
            </w:pPr>
            <w:r>
              <w:rPr>
                <w:rFonts w:ascii="Times New Roman" w:hAnsi="Times New Roman"/>
              </w:rPr>
              <w:t>QTDE</w:t>
            </w:r>
          </w:p>
        </w:tc>
        <w:tc>
          <w:tcPr>
            <w:tcW w:w="992" w:type="dxa"/>
          </w:tcPr>
          <w:p w14:paraId="75C603AB">
            <w:pPr>
              <w:ind w:hanging="2"/>
              <w:jc w:val="both"/>
              <w:rPr>
                <w:rFonts w:ascii="Times New Roman" w:hAnsi="Times New Roman"/>
              </w:rPr>
            </w:pPr>
            <w:r>
              <w:rPr>
                <w:rFonts w:ascii="Times New Roman" w:hAnsi="Times New Roman"/>
              </w:rPr>
              <w:t>MARCA</w:t>
            </w:r>
          </w:p>
        </w:tc>
        <w:tc>
          <w:tcPr>
            <w:tcW w:w="992" w:type="dxa"/>
          </w:tcPr>
          <w:p w14:paraId="57FB005A">
            <w:pPr>
              <w:ind w:hanging="2"/>
              <w:jc w:val="both"/>
              <w:rPr>
                <w:rFonts w:ascii="Times New Roman" w:hAnsi="Times New Roman"/>
              </w:rPr>
            </w:pPr>
            <w:r>
              <w:rPr>
                <w:rFonts w:ascii="Times New Roman" w:hAnsi="Times New Roman"/>
              </w:rPr>
              <w:t>VALOR UNIT</w:t>
            </w:r>
          </w:p>
        </w:tc>
        <w:tc>
          <w:tcPr>
            <w:tcW w:w="992" w:type="dxa"/>
          </w:tcPr>
          <w:p w14:paraId="3CD5B060">
            <w:pPr>
              <w:ind w:hanging="2"/>
              <w:jc w:val="both"/>
              <w:rPr>
                <w:rFonts w:ascii="Times New Roman" w:hAnsi="Times New Roman"/>
              </w:rPr>
            </w:pPr>
            <w:r>
              <w:rPr>
                <w:rFonts w:ascii="Times New Roman" w:hAnsi="Times New Roman"/>
              </w:rPr>
              <w:t>VALOR</w:t>
            </w:r>
          </w:p>
          <w:p w14:paraId="518A7C05">
            <w:pPr>
              <w:ind w:hanging="2"/>
              <w:jc w:val="both"/>
              <w:rPr>
                <w:rFonts w:ascii="Times New Roman" w:hAnsi="Times New Roman"/>
              </w:rPr>
            </w:pPr>
            <w:r>
              <w:rPr>
                <w:rFonts w:ascii="Times New Roman" w:hAnsi="Times New Roman"/>
              </w:rPr>
              <w:t>TOTAL</w:t>
            </w:r>
          </w:p>
        </w:tc>
      </w:tr>
      <w:tr w14:paraId="6221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55F60B34">
            <w:pPr>
              <w:ind w:hanging="2"/>
              <w:jc w:val="both"/>
              <w:rPr>
                <w:rFonts w:ascii="Times New Roman" w:hAnsi="Times New Roman"/>
              </w:rPr>
            </w:pPr>
            <w:r>
              <w:rPr>
                <w:rFonts w:ascii="Times New Roman" w:hAnsi="Times New Roman"/>
              </w:rPr>
              <w:t>1</w:t>
            </w:r>
          </w:p>
        </w:tc>
        <w:tc>
          <w:tcPr>
            <w:tcW w:w="5387" w:type="dxa"/>
            <w:shd w:val="clear" w:color="auto" w:fill="auto"/>
          </w:tcPr>
          <w:p w14:paraId="6462C9C1">
            <w:pPr>
              <w:pStyle w:val="2"/>
              <w:ind w:left="360" w:right="-29"/>
              <w:jc w:val="both"/>
              <w:rPr>
                <w:rFonts w:eastAsia="SimSun"/>
                <w:b w:val="0"/>
                <w:bCs w:val="0"/>
                <w:sz w:val="24"/>
                <w:szCs w:val="24"/>
                <w:lang w:val="pt-BR" w:eastAsia="zh-CN"/>
              </w:rPr>
            </w:pPr>
            <w:r>
              <w:rPr>
                <w:rFonts w:eastAsia="SimSun"/>
                <w:b w:val="0"/>
                <w:bCs w:val="0"/>
                <w:sz w:val="24"/>
                <w:szCs w:val="24"/>
                <w:lang w:val="pt-BR" w:eastAsia="zh-CN"/>
              </w:rPr>
              <w:t>LUMINARIAS DE LED</w:t>
            </w:r>
          </w:p>
          <w:p w14:paraId="6D129C8D">
            <w:pPr>
              <w:pStyle w:val="2"/>
              <w:ind w:left="0" w:right="-29"/>
              <w:jc w:val="both"/>
              <w:rPr>
                <w:rFonts w:eastAsia="SimSun"/>
                <w:b w:val="0"/>
                <w:bCs w:val="0"/>
                <w:sz w:val="24"/>
                <w:szCs w:val="24"/>
                <w:lang w:val="pt-BR" w:eastAsia="zh-CN"/>
              </w:rPr>
            </w:pPr>
            <w:r>
              <w:rPr>
                <w:rFonts w:eastAsia="SimSun"/>
                <w:b w:val="0"/>
                <w:bCs w:val="0"/>
                <w:sz w:val="24"/>
                <w:szCs w:val="24"/>
                <w:lang w:val="pt-BR" w:eastAsia="zh-CN"/>
              </w:rPr>
              <w:t xml:space="preserve">                  Potência de 400W;</w:t>
            </w:r>
          </w:p>
          <w:p w14:paraId="011337ED">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Grau de proteção IP67/IP68;</w:t>
            </w:r>
          </w:p>
          <w:p w14:paraId="71895D87">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Fluxo luminoso mínimo de 40.000 lumens;</w:t>
            </w:r>
          </w:p>
          <w:p w14:paraId="317831B2">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Temperatura de cor entre 6000K e 6500K;</w:t>
            </w:r>
          </w:p>
          <w:p w14:paraId="52F2D9C7">
            <w:pPr>
              <w:pStyle w:val="2"/>
              <w:numPr>
                <w:ilvl w:val="0"/>
                <w:numId w:val="11"/>
              </w:numPr>
              <w:ind w:left="1053" w:right="-29" w:hanging="706"/>
              <w:jc w:val="both"/>
              <w:rPr>
                <w:rFonts w:eastAsia="SimSun"/>
                <w:b w:val="0"/>
                <w:bCs w:val="0"/>
                <w:sz w:val="24"/>
                <w:szCs w:val="24"/>
                <w:lang w:val="pt-BR" w:eastAsia="zh-CN"/>
              </w:rPr>
            </w:pPr>
            <w:r>
              <w:rPr>
                <w:rFonts w:eastAsia="SimSun"/>
                <w:b w:val="0"/>
                <w:bCs w:val="0"/>
                <w:sz w:val="24"/>
                <w:szCs w:val="24"/>
                <w:lang w:val="pt-BR" w:eastAsia="zh-CN"/>
              </w:rPr>
              <w:t>Vida útil de no mínimo 50.000 horas.</w:t>
            </w:r>
          </w:p>
          <w:p w14:paraId="66E43433">
            <w:pPr>
              <w:ind w:hanging="2"/>
              <w:jc w:val="both"/>
              <w:rPr>
                <w:rFonts w:ascii="Times New Roman" w:hAnsi="Times New Roman"/>
              </w:rPr>
            </w:pPr>
            <w:r>
              <w:rPr>
                <w:rFonts w:ascii="Times New Roman" w:hAnsi="Times New Roman" w:eastAsia="SimSun" w:cs="Times New Roman"/>
                <w:sz w:val="24"/>
                <w:szCs w:val="24"/>
                <w:lang w:val="pt-BR" w:eastAsia="zh-CN"/>
              </w:rPr>
              <w:t>Base de encaixe 50,8mm / 2 Polegadas</w:t>
            </w:r>
          </w:p>
        </w:tc>
        <w:tc>
          <w:tcPr>
            <w:tcW w:w="850" w:type="dxa"/>
            <w:shd w:val="clear" w:color="auto" w:fill="auto"/>
          </w:tcPr>
          <w:p w14:paraId="5FC39CD0">
            <w:pPr>
              <w:ind w:hanging="2"/>
              <w:jc w:val="both"/>
              <w:rPr>
                <w:rFonts w:ascii="Times New Roman" w:hAnsi="Times New Roman"/>
              </w:rPr>
            </w:pPr>
            <w:r>
              <w:rPr>
                <w:rFonts w:ascii="Times New Roman" w:hAnsi="Times New Roman"/>
              </w:rPr>
              <w:t>UND</w:t>
            </w:r>
          </w:p>
        </w:tc>
        <w:tc>
          <w:tcPr>
            <w:tcW w:w="851" w:type="dxa"/>
            <w:shd w:val="clear" w:color="auto" w:fill="auto"/>
          </w:tcPr>
          <w:p w14:paraId="3BDF2A3D">
            <w:pPr>
              <w:ind w:hanging="2"/>
              <w:jc w:val="both"/>
              <w:rPr>
                <w:rFonts w:ascii="Times New Roman" w:hAnsi="Times New Roman"/>
              </w:rPr>
            </w:pPr>
            <w:r>
              <w:rPr>
                <w:rFonts w:ascii="Times New Roman" w:hAnsi="Times New Roman"/>
              </w:rPr>
              <w:t>300</w:t>
            </w:r>
          </w:p>
        </w:tc>
        <w:tc>
          <w:tcPr>
            <w:tcW w:w="992" w:type="dxa"/>
          </w:tcPr>
          <w:p w14:paraId="1BC4AFCE">
            <w:pPr>
              <w:ind w:hanging="2"/>
              <w:jc w:val="both"/>
              <w:rPr>
                <w:rFonts w:ascii="Times New Roman" w:hAnsi="Times New Roman"/>
              </w:rPr>
            </w:pPr>
          </w:p>
        </w:tc>
        <w:tc>
          <w:tcPr>
            <w:tcW w:w="992" w:type="dxa"/>
          </w:tcPr>
          <w:p w14:paraId="069FF5C3">
            <w:pPr>
              <w:ind w:hanging="2"/>
              <w:jc w:val="both"/>
              <w:rPr>
                <w:rFonts w:ascii="Times New Roman" w:hAnsi="Times New Roman"/>
              </w:rPr>
            </w:pPr>
            <w:r>
              <w:rPr>
                <w:rFonts w:ascii="Times New Roman" w:hAnsi="Times New Roman"/>
              </w:rPr>
              <w:t>R$</w:t>
            </w:r>
          </w:p>
        </w:tc>
        <w:tc>
          <w:tcPr>
            <w:tcW w:w="992" w:type="dxa"/>
          </w:tcPr>
          <w:p w14:paraId="46475210">
            <w:pPr>
              <w:ind w:hanging="2"/>
              <w:jc w:val="both"/>
              <w:rPr>
                <w:rFonts w:ascii="Times New Roman" w:hAnsi="Times New Roman"/>
              </w:rPr>
            </w:pPr>
            <w:r>
              <w:rPr>
                <w:rFonts w:ascii="Times New Roman" w:hAnsi="Times New Roman"/>
              </w:rPr>
              <w:t>R$</w:t>
            </w:r>
          </w:p>
        </w:tc>
      </w:tr>
    </w:tbl>
    <w:p w14:paraId="1742EB3C">
      <w:pPr>
        <w:rPr>
          <w:b/>
          <w:bCs/>
        </w:rPr>
      </w:pPr>
    </w:p>
    <w:p w14:paraId="70FB3DD7">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0D871CD8">
      <w:pPr>
        <w:pStyle w:val="7"/>
        <w:jc w:val="both"/>
        <w:rPr>
          <w:b/>
          <w:bCs/>
        </w:rPr>
      </w:pPr>
      <w:r>
        <w:rPr>
          <w:b/>
          <w:bCs/>
        </w:rPr>
        <w:t>OBJETO :</w:t>
      </w:r>
      <w:r>
        <w:rPr>
          <w:rFonts w:eastAsia="Arial"/>
          <w:b/>
          <w:sz w:val="24"/>
          <w:szCs w:val="24"/>
        </w:rPr>
        <w:t xml:space="preserve"> </w:t>
      </w:r>
      <w:r>
        <w:rPr>
          <w:rFonts w:hint="default" w:ascii="Times New Roman" w:hAnsi="Times New Roman" w:cs="Times New Roman"/>
          <w:b/>
          <w:bCs/>
          <w:sz w:val="24"/>
          <w:szCs w:val="24"/>
          <w:lang w:val="pt-BR"/>
        </w:rPr>
        <w:t>AQUISIÇÃO DE LUMINÁRIAS PÚBLICA LED DE 400 W</w:t>
      </w:r>
    </w:p>
    <w:p w14:paraId="136A43A4">
      <w:pPr>
        <w:pStyle w:val="17"/>
        <w:ind w:firstLine="708"/>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2278785A">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7"/>
        <w:jc w:val="center"/>
        <w:rPr>
          <w:rFonts w:ascii="Calibri Light" w:hAnsi="Calibri Light" w:cs="Calibri Light"/>
          <w:b/>
          <w:bCs/>
          <w:sz w:val="20"/>
          <w:szCs w:val="20"/>
        </w:rPr>
      </w:pPr>
    </w:p>
    <w:p w14:paraId="3424D38C">
      <w:pPr>
        <w:pStyle w:val="17"/>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7"/>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7"/>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7"/>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3"/>
        <w:widowControl/>
        <w:numPr>
          <w:ilvl w:val="1"/>
          <w:numId w:val="18"/>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3"/>
        <w:widowControl/>
        <w:tabs>
          <w:tab w:val="left" w:pos="0"/>
        </w:tabs>
        <w:autoSpaceDE/>
        <w:spacing w:line="360" w:lineRule="auto"/>
        <w:ind w:left="0"/>
        <w:contextualSpacing/>
        <w:rPr>
          <w:rFonts w:ascii="Calibri Light" w:hAnsi="Calibri Light" w:cs="Calibri Light"/>
          <w:bCs/>
          <w:sz w:val="20"/>
          <w:szCs w:val="20"/>
        </w:rPr>
      </w:pPr>
    </w:p>
    <w:p w14:paraId="205EFD3A">
      <w:pPr>
        <w:pStyle w:val="13"/>
        <w:widowControl/>
        <w:numPr>
          <w:ilvl w:val="1"/>
          <w:numId w:val="18"/>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7"/>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7"/>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7"/>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2"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2"/>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3"/>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3"/>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3"/>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3"/>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3"/>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7"/>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7"/>
        <w:spacing w:line="360" w:lineRule="auto"/>
        <w:ind w:right="-1"/>
        <w:jc w:val="both"/>
        <w:rPr>
          <w:rFonts w:ascii="Arial" w:hAnsi="Arial" w:cs="Arial"/>
        </w:rPr>
      </w:pPr>
    </w:p>
    <w:p w14:paraId="6F2D1238">
      <w:pPr>
        <w:pStyle w:val="7"/>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21"/>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7"/>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114BB55B">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22"/>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3"/>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3"/>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3"/>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3"/>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3"/>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22"/>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4"/>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4"/>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7"/>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0"/>
      <w:jc w:val="center"/>
      <w:rPr>
        <w:b/>
        <w:bCs/>
        <w:sz w:val="18"/>
      </w:rPr>
    </w:pPr>
    <w:r>
      <w:tab/>
    </w:r>
    <w:bookmarkStart w:id="3" w:name="_Hlk162823156"/>
    <w:r>
      <w:rPr>
        <w:b/>
        <w:bCs/>
        <w:sz w:val="18"/>
      </w:rPr>
      <w:t>Rua Barão de Rifaina nº 251 – CEP 14.490-000 – Centro - Rifaina-SP – Tel. (16) 3135 9500</w:t>
    </w:r>
  </w:p>
  <w:bookmarkEnd w:id="3"/>
  <w:p w14:paraId="1B383F98">
    <w:pPr>
      <w:pStyle w:val="10"/>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9"/>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9"/>
      <w:rPr>
        <w:b/>
        <w:bCs/>
        <w:sz w:val="48"/>
        <w:szCs w:val="48"/>
      </w:rPr>
    </w:pPr>
    <w:r>
      <w:rPr>
        <w:b/>
        <w:bCs/>
        <w:sz w:val="48"/>
        <w:szCs w:val="48"/>
      </w:rPr>
      <w:tab/>
    </w:r>
    <w:r>
      <w:rPr>
        <w:b/>
        <w:bCs/>
        <w:sz w:val="48"/>
        <w:szCs w:val="48"/>
      </w:rPr>
      <w:t xml:space="preserve">      MUNICÍPIO DE RIFAINA </w:t>
    </w:r>
  </w:p>
  <w:p w14:paraId="11D00121">
    <w:pPr>
      <w:pStyle w:val="9"/>
      <w:rPr>
        <w:b/>
        <w:bCs/>
        <w:sz w:val="48"/>
        <w:szCs w:val="48"/>
      </w:rPr>
    </w:pPr>
  </w:p>
  <w:p w14:paraId="72BC72E5">
    <w:pPr>
      <w:pStyle w:val="9"/>
      <w:jc w:val="center"/>
      <w:rPr>
        <w:b/>
        <w:bCs/>
        <w:sz w:val="32"/>
        <w:szCs w:val="32"/>
      </w:rPr>
    </w:pPr>
    <w:r>
      <w:rPr>
        <w:b/>
        <w:bCs/>
        <w:sz w:val="32"/>
        <w:szCs w:val="32"/>
      </w:rPr>
      <w:t>CNPJ 45.318.995/0001-71</w:t>
    </w:r>
  </w:p>
  <w:p w14:paraId="4290B83F">
    <w:pPr>
      <w:spacing w:line="200" w:lineRule="exact"/>
    </w:pPr>
  </w:p>
  <w:p w14:paraId="3D2982F8">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9"/>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9"/>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9"/>
      <w:rPr>
        <w:b/>
        <w:bCs/>
        <w:sz w:val="48"/>
        <w:szCs w:val="48"/>
      </w:rPr>
    </w:pPr>
  </w:p>
  <w:p w14:paraId="2D5E1502">
    <w:pPr>
      <w:pStyle w:val="9"/>
      <w:jc w:val="center"/>
      <w:rPr>
        <w:b/>
        <w:bCs/>
        <w:sz w:val="32"/>
        <w:szCs w:val="32"/>
      </w:rPr>
    </w:pPr>
    <w:r>
      <w:rPr>
        <w:b/>
        <w:bCs/>
        <w:sz w:val="32"/>
        <w:szCs w:val="32"/>
      </w:rPr>
      <w:t>CNPJ 45.318.995/0001-71</w:t>
    </w:r>
  </w:p>
  <w:p w14:paraId="0D58B9B5">
    <w:pPr>
      <w:spacing w:line="200" w:lineRule="exact"/>
    </w:pPr>
  </w:p>
  <w:p w14:paraId="49A112C9">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9"/>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9"/>
      <w:rPr>
        <w:b/>
        <w:bCs/>
        <w:sz w:val="48"/>
        <w:szCs w:val="48"/>
      </w:rPr>
    </w:pPr>
    <w:r>
      <w:rPr>
        <w:b/>
        <w:bCs/>
        <w:sz w:val="48"/>
        <w:szCs w:val="48"/>
      </w:rPr>
      <w:tab/>
    </w:r>
    <w:r>
      <w:rPr>
        <w:b/>
        <w:bCs/>
        <w:sz w:val="48"/>
        <w:szCs w:val="48"/>
      </w:rPr>
      <w:t xml:space="preserve">      MUNICÍPIO DE RIFAINA </w:t>
    </w:r>
  </w:p>
  <w:p w14:paraId="6D85F241">
    <w:pPr>
      <w:pStyle w:val="9"/>
      <w:jc w:val="center"/>
      <w:rPr>
        <w:b/>
        <w:bCs/>
        <w:sz w:val="32"/>
        <w:szCs w:val="32"/>
      </w:rPr>
    </w:pPr>
    <w:r>
      <w:rPr>
        <w:b/>
        <w:bCs/>
        <w:sz w:val="32"/>
        <w:szCs w:val="32"/>
      </w:rPr>
      <w:t>CNPJ 45.318.995/0001-71</w:t>
    </w:r>
  </w:p>
  <w:p w14:paraId="46ABA62B">
    <w:pPr>
      <w:spacing w:line="200" w:lineRule="exact"/>
    </w:pPr>
  </w:p>
  <w:p w14:paraId="1CC4EF6D">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9"/>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9"/>
      <w:rPr>
        <w:b/>
        <w:bCs/>
        <w:sz w:val="48"/>
        <w:szCs w:val="48"/>
      </w:rPr>
    </w:pPr>
    <w:r>
      <w:rPr>
        <w:b/>
        <w:bCs/>
        <w:sz w:val="48"/>
        <w:szCs w:val="48"/>
      </w:rPr>
      <w:tab/>
    </w:r>
    <w:r>
      <w:rPr>
        <w:b/>
        <w:bCs/>
        <w:sz w:val="48"/>
        <w:szCs w:val="48"/>
      </w:rPr>
      <w:t xml:space="preserve">      MUNICÍPIO DE RIFAINA </w:t>
    </w:r>
  </w:p>
  <w:p w14:paraId="706A7D43">
    <w:pPr>
      <w:pStyle w:val="9"/>
      <w:jc w:val="center"/>
      <w:rPr>
        <w:b/>
        <w:bCs/>
        <w:sz w:val="32"/>
        <w:szCs w:val="32"/>
      </w:rPr>
    </w:pPr>
    <w:r>
      <w:rPr>
        <w:b/>
        <w:bCs/>
        <w:sz w:val="32"/>
        <w:szCs w:val="32"/>
      </w:rPr>
      <w:t>CNPJ 45.318.995/0001-71</w:t>
    </w:r>
  </w:p>
  <w:p w14:paraId="405453C6">
    <w:pPr>
      <w:spacing w:line="200" w:lineRule="exact"/>
    </w:pPr>
  </w:p>
  <w:p w14:paraId="3CF4B2AA">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9"/>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9"/>
      <w:rPr>
        <w:b/>
        <w:bCs/>
        <w:sz w:val="48"/>
        <w:szCs w:val="48"/>
      </w:rPr>
    </w:pPr>
    <w:r>
      <w:rPr>
        <w:b/>
        <w:bCs/>
        <w:sz w:val="48"/>
        <w:szCs w:val="48"/>
      </w:rPr>
      <w:tab/>
    </w:r>
    <w:r>
      <w:rPr>
        <w:b/>
        <w:bCs/>
        <w:sz w:val="48"/>
        <w:szCs w:val="48"/>
      </w:rPr>
      <w:t xml:space="preserve">      MUNICÍPIO DE RIFAINA </w:t>
    </w:r>
  </w:p>
  <w:p w14:paraId="6273C4CA">
    <w:pPr>
      <w:pStyle w:val="9"/>
      <w:jc w:val="center"/>
      <w:rPr>
        <w:b/>
        <w:bCs/>
        <w:sz w:val="32"/>
        <w:szCs w:val="32"/>
      </w:rPr>
    </w:pPr>
    <w:r>
      <w:rPr>
        <w:b/>
        <w:bCs/>
        <w:sz w:val="32"/>
        <w:szCs w:val="32"/>
      </w:rPr>
      <w:t>CNPJ 45.318.995/0001-71</w:t>
    </w:r>
  </w:p>
  <w:p w14:paraId="0E516B94">
    <w:pPr>
      <w:spacing w:line="200" w:lineRule="exact"/>
    </w:pPr>
  </w:p>
  <w:p w14:paraId="436FF6D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3AA39E6"/>
    <w:multiLevelType w:val="multilevel"/>
    <w:tmpl w:val="03AA39E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F4AB9"/>
    <w:multiLevelType w:val="multilevel"/>
    <w:tmpl w:val="080F4AB9"/>
    <w:lvl w:ilvl="0" w:tentative="0">
      <w:start w:val="1"/>
      <w:numFmt w:val="decimal"/>
      <w:pStyle w:val="22"/>
      <w:lvlText w:val="%1."/>
      <w:lvlJc w:val="left"/>
      <w:pPr>
        <w:ind w:left="1495" w:hanging="360"/>
      </w:pPr>
      <w:rPr>
        <w:rFonts w:hint="default"/>
        <w:b/>
      </w:rPr>
    </w:lvl>
    <w:lvl w:ilvl="1" w:tentative="0">
      <w:start w:val="1"/>
      <w:numFmt w:val="decimal"/>
      <w:pStyle w:val="24"/>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3">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4">
    <w:nsid w:val="10401CBA"/>
    <w:multiLevelType w:val="multilevel"/>
    <w:tmpl w:val="10401CB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8">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A8D0153"/>
    <w:multiLevelType w:val="multilevel"/>
    <w:tmpl w:val="3A8D0153"/>
    <w:lvl w:ilvl="0" w:tentative="0">
      <w:start w:val="9"/>
      <w:numFmt w:val="decimal"/>
      <w:lvlText w:val="%1"/>
      <w:lvlJc w:val="left"/>
      <w:pPr>
        <w:ind w:left="208" w:hanging="1296"/>
        <w:jc w:val="left"/>
      </w:pPr>
      <w:rPr>
        <w:rFonts w:hint="default"/>
        <w:lang w:val="pt-PT" w:eastAsia="en-US" w:bidi="ar-SA"/>
      </w:rPr>
    </w:lvl>
    <w:lvl w:ilvl="1" w:tentative="0">
      <w:start w:val="16"/>
      <w:numFmt w:val="decimal"/>
      <w:lvlText w:val="%1.%2."/>
      <w:lvlJc w:val="left"/>
      <w:pPr>
        <w:ind w:left="208" w:hanging="1296"/>
        <w:jc w:val="left"/>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504" w:hanging="1296"/>
        <w:jc w:val="left"/>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4."/>
      <w:lvlJc w:val="left"/>
      <w:pPr>
        <w:ind w:left="808" w:hanging="360"/>
        <w:jc w:val="left"/>
      </w:pPr>
      <w:rPr>
        <w:rFonts w:hint="default" w:ascii="Times New Roman" w:hAnsi="Times New Roman" w:eastAsia="Times New Roman" w:cs="Times New Roman"/>
        <w:b/>
        <w:bCs/>
        <w:i w:val="0"/>
        <w:iCs w:val="0"/>
        <w:spacing w:val="0"/>
        <w:w w:val="118"/>
        <w:sz w:val="24"/>
        <w:szCs w:val="24"/>
        <w:lang w:val="pt-PT" w:eastAsia="en-US" w:bidi="ar-SA"/>
      </w:rPr>
    </w:lvl>
    <w:lvl w:ilvl="4" w:tentative="0">
      <w:start w:val="1"/>
      <w:numFmt w:val="decimal"/>
      <w:lvlText w:val="%4.%5."/>
      <w:lvlJc w:val="left"/>
      <w:pPr>
        <w:ind w:left="88" w:hanging="389"/>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5" w:tentative="0">
      <w:start w:val="0"/>
      <w:numFmt w:val="bullet"/>
      <w:lvlText w:val="•"/>
      <w:lvlJc w:val="left"/>
      <w:pPr>
        <w:ind w:left="4110" w:hanging="389"/>
      </w:pPr>
      <w:rPr>
        <w:rFonts w:hint="default"/>
        <w:lang w:val="pt-PT" w:eastAsia="en-US" w:bidi="ar-SA"/>
      </w:rPr>
    </w:lvl>
    <w:lvl w:ilvl="6" w:tentative="0">
      <w:start w:val="0"/>
      <w:numFmt w:val="bullet"/>
      <w:lvlText w:val="•"/>
      <w:lvlJc w:val="left"/>
      <w:pPr>
        <w:ind w:left="5415" w:hanging="389"/>
      </w:pPr>
      <w:rPr>
        <w:rFonts w:hint="default"/>
        <w:lang w:val="pt-PT" w:eastAsia="en-US" w:bidi="ar-SA"/>
      </w:rPr>
    </w:lvl>
    <w:lvl w:ilvl="7" w:tentative="0">
      <w:start w:val="0"/>
      <w:numFmt w:val="bullet"/>
      <w:lvlText w:val="•"/>
      <w:lvlJc w:val="left"/>
      <w:pPr>
        <w:ind w:left="6720" w:hanging="389"/>
      </w:pPr>
      <w:rPr>
        <w:rFonts w:hint="default"/>
        <w:lang w:val="pt-PT" w:eastAsia="en-US" w:bidi="ar-SA"/>
      </w:rPr>
    </w:lvl>
    <w:lvl w:ilvl="8" w:tentative="0">
      <w:start w:val="0"/>
      <w:numFmt w:val="bullet"/>
      <w:lvlText w:val="•"/>
      <w:lvlJc w:val="left"/>
      <w:pPr>
        <w:ind w:left="8025" w:hanging="389"/>
      </w:pPr>
      <w:rPr>
        <w:rFonts w:hint="default"/>
        <w:lang w:val="pt-PT" w:eastAsia="en-US" w:bidi="ar-SA"/>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48A10626"/>
    <w:multiLevelType w:val="multilevel"/>
    <w:tmpl w:val="48A106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4A5A2FBB"/>
    <w:multiLevelType w:val="multilevel"/>
    <w:tmpl w:val="4A5A2FBB"/>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50C907B5"/>
    <w:multiLevelType w:val="multilevel"/>
    <w:tmpl w:val="50C907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7">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8">
    <w:nsid w:val="6EA92B1E"/>
    <w:multiLevelType w:val="multilevel"/>
    <w:tmpl w:val="6EA92B1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0">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2">
    <w:nsid w:val="79F63065"/>
    <w:multiLevelType w:val="multilevel"/>
    <w:tmpl w:val="79F63065"/>
    <w:lvl w:ilvl="0" w:tentative="0">
      <w:start w:val="1"/>
      <w:numFmt w:val="bullet"/>
      <w:pStyle w:val="23"/>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2"/>
  </w:num>
  <w:num w:numId="2">
    <w:abstractNumId w:val="22"/>
  </w:num>
  <w:num w:numId="3">
    <w:abstractNumId w:val="16"/>
  </w:num>
  <w:num w:numId="4">
    <w:abstractNumId w:val="5"/>
  </w:num>
  <w:num w:numId="5">
    <w:abstractNumId w:val="3"/>
  </w:num>
  <w:num w:numId="6">
    <w:abstractNumId w:val="7"/>
  </w:num>
  <w:num w:numId="7">
    <w:abstractNumId w:val="17"/>
  </w:num>
  <w:num w:numId="8">
    <w:abstractNumId w:val="6"/>
  </w:num>
  <w:num w:numId="9">
    <w:abstractNumId w:val="23"/>
  </w:num>
  <w:num w:numId="10">
    <w:abstractNumId w:val="11"/>
  </w:num>
  <w:num w:numId="11">
    <w:abstractNumId w:val="13"/>
  </w:num>
  <w:num w:numId="12">
    <w:abstractNumId w:val="19"/>
  </w:num>
  <w:num w:numId="13">
    <w:abstractNumId w:val="18"/>
  </w:num>
  <w:num w:numId="14">
    <w:abstractNumId w:val="15"/>
  </w:num>
  <w:num w:numId="15">
    <w:abstractNumId w:val="14"/>
  </w:num>
  <w:num w:numId="16">
    <w:abstractNumId w:val="1"/>
  </w:num>
  <w:num w:numId="17">
    <w:abstractNumId w:val="4"/>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233113D1"/>
    <w:rsid w:val="6E57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0"/>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unhideWhenUsed/>
    <w:qFormat/>
    <w:uiPriority w:val="0"/>
    <w:rPr>
      <w:color w:val="0000FF"/>
      <w:u w:val="single"/>
    </w:rPr>
  </w:style>
  <w:style w:type="paragraph" w:styleId="7">
    <w:name w:val="Body Text"/>
    <w:basedOn w:val="1"/>
    <w:link w:val="21"/>
    <w:qFormat/>
    <w:uiPriority w:val="1"/>
  </w:style>
  <w:style w:type="paragraph" w:styleId="8">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9">
    <w:name w:val="header"/>
    <w:basedOn w:val="1"/>
    <w:link w:val="15"/>
    <w:unhideWhenUsed/>
    <w:qFormat/>
    <w:uiPriority w:val="0"/>
    <w:pPr>
      <w:tabs>
        <w:tab w:val="center" w:pos="4680"/>
        <w:tab w:val="right" w:pos="9360"/>
      </w:tabs>
    </w:pPr>
  </w:style>
  <w:style w:type="paragraph" w:styleId="10">
    <w:name w:val="footer"/>
    <w:basedOn w:val="1"/>
    <w:link w:val="16"/>
    <w:unhideWhenUsed/>
    <w:qFormat/>
    <w:uiPriority w:val="99"/>
    <w:pPr>
      <w:tabs>
        <w:tab w:val="center" w:pos="4680"/>
        <w:tab w:val="right" w:pos="9360"/>
      </w:tabs>
    </w:pPr>
  </w:style>
  <w:style w:type="table" w:styleId="11">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4"/>
    <w:link w:val="9"/>
    <w:qFormat/>
    <w:uiPriority w:val="0"/>
    <w:rPr>
      <w:rFonts w:ascii="Times New Roman" w:hAnsi="Times New Roman" w:eastAsia="Times New Roman" w:cs="Times New Roman"/>
      <w:lang w:val="pt-PT"/>
    </w:rPr>
  </w:style>
  <w:style w:type="character" w:customStyle="1" w:styleId="16">
    <w:name w:val="Rodapé Char"/>
    <w:basedOn w:val="4"/>
    <w:link w:val="10"/>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1">
    <w:name w:val="Corpo de texto Char"/>
    <w:basedOn w:val="4"/>
    <w:link w:val="7"/>
    <w:qFormat/>
    <w:uiPriority w:val="1"/>
    <w:rPr>
      <w:rFonts w:ascii="Times New Roman" w:hAnsi="Times New Roman" w:eastAsia="Times New Roman" w:cs="Times New Roman"/>
      <w:lang w:val="pt-PT"/>
    </w:rPr>
  </w:style>
  <w:style w:type="paragraph" w:customStyle="1" w:styleId="22">
    <w:name w:val="Nivel 01"/>
    <w:basedOn w:val="13"/>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3">
    <w:name w:val="Nível 02"/>
    <w:basedOn w:val="24"/>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4">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5">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34</Pages>
  <Words>14422</Words>
  <Characters>77880</Characters>
  <Lines>649</Lines>
  <Paragraphs>184</Paragraphs>
  <TotalTime>2</TotalTime>
  <ScaleCrop>false</ScaleCrop>
  <LinksUpToDate>false</LinksUpToDate>
  <CharactersWithSpaces>92118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2025-01-09T18:42:00Z</cp:lastPrinted>
  <dcterms:modified xsi:type="dcterms:W3CDTF">2025-05-05T14:07:19Z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21C3DA4E9C004DA1AE6D3CB000452215_13</vt:lpwstr>
  </property>
</Properties>
</file>