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23/</w:t>
      </w:r>
      <w:r>
        <w:rPr>
          <w:b/>
          <w:spacing w:val="-2"/>
          <w:w w:val="115"/>
        </w:rPr>
        <w:t>2025 PROCESSO ADM Nº</w:t>
      </w:r>
      <w:r>
        <w:rPr>
          <w:b/>
          <w:spacing w:val="-2"/>
          <w:w w:val="115"/>
          <w:lang w:val="pt-BR"/>
        </w:rPr>
        <w:t>3</w:t>
      </w:r>
      <w:r>
        <w:rPr>
          <w:rFonts w:hint="default"/>
          <w:b/>
          <w:spacing w:val="-2"/>
          <w:w w:val="115"/>
          <w:lang w:val="pt-BR"/>
        </w:rPr>
        <w:t>68</w:t>
      </w:r>
      <w:r>
        <w:rPr>
          <w:b/>
          <w:spacing w:val="-2"/>
          <w:w w:val="115"/>
          <w:lang w:val="pt-BR"/>
        </w:rPr>
        <w:t>/</w:t>
      </w:r>
      <w:r>
        <w:rPr>
          <w:b/>
          <w:spacing w:val="-2"/>
          <w:w w:val="115"/>
        </w:rPr>
        <w:t>2025</w:t>
      </w:r>
    </w:p>
    <w:p w14:paraId="2CD64796">
      <w:pPr>
        <w:pStyle w:val="9"/>
        <w:rPr>
          <w:b/>
        </w:rPr>
      </w:pPr>
    </w:p>
    <w:p w14:paraId="3385027C">
      <w:pPr>
        <w:pStyle w:val="9"/>
        <w:spacing w:before="54"/>
        <w:rPr>
          <w:b/>
        </w:rPr>
      </w:pPr>
    </w:p>
    <w:p w14:paraId="10BD2358">
      <w:pPr>
        <w:pStyle w:val="9"/>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9"/>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08/09</w:t>
      </w:r>
      <w:r>
        <w:rPr>
          <w:b/>
          <w:w w:val="115"/>
        </w:rPr>
        <w:t xml:space="preserve">/2025 das </w:t>
      </w:r>
      <w:r>
        <w:rPr>
          <w:rFonts w:hint="default"/>
          <w:b/>
          <w:w w:val="115"/>
          <w:lang w:val="pt-BR"/>
        </w:rPr>
        <w:t>13:00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spacing w:val="-7"/>
          <w:w w:val="110"/>
          <w:lang w:val="pt-BR"/>
        </w:rPr>
        <w:t>12/09</w:t>
      </w:r>
      <w:r>
        <w:rPr>
          <w:b/>
          <w:spacing w:val="-14"/>
          <w:w w:val="110"/>
        </w:rPr>
        <w:t xml:space="preserve"> </w:t>
      </w:r>
      <w:r>
        <w:rPr>
          <w:b/>
          <w:w w:val="110"/>
        </w:rPr>
        <w:t>/2025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9"/>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spacing w:val="32"/>
          <w:w w:val="115"/>
          <w:lang w:val="pt-BR"/>
        </w:rPr>
        <w:t>12/09</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9"/>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spacing w:before="23"/>
        <w:ind w:left="492"/>
        <w:rPr>
          <w:spacing w:val="14"/>
          <w:w w:val="110"/>
        </w:rPr>
      </w:pPr>
    </w:p>
    <w:p w14:paraId="0A6B3BFA">
      <w:pPr>
        <w:suppressAutoHyphens w:val="0"/>
        <w:spacing w:line="360" w:lineRule="auto"/>
        <w:ind w:left="-993" w:right="-853" w:firstLine="1135"/>
        <w:jc w:val="both"/>
        <w:rPr>
          <w:rFonts w:ascii="Arial" w:hAnsi="Arial" w:cs="Arial"/>
          <w:sz w:val="22"/>
          <w:szCs w:val="22"/>
        </w:rPr>
      </w:pPr>
      <w:r>
        <w:rPr>
          <w:rFonts w:ascii="Arial" w:hAnsi="Arial" w:cs="Arial"/>
          <w:sz w:val="22"/>
          <w:szCs w:val="22"/>
        </w:rPr>
        <w:t xml:space="preserve">RECURSO MUNICIPAL / ESTADUAL / FEDERAL </w:t>
      </w:r>
    </w:p>
    <w:p w14:paraId="51DE3D79">
      <w:pPr>
        <w:suppressAutoHyphens w:val="0"/>
        <w:spacing w:line="360" w:lineRule="auto"/>
        <w:ind w:left="-993" w:right="-853" w:firstLine="1135"/>
        <w:jc w:val="both"/>
        <w:rPr>
          <w:rFonts w:ascii="Arial" w:hAnsi="Arial" w:cs="Arial"/>
          <w:sz w:val="22"/>
          <w:szCs w:val="22"/>
        </w:rPr>
      </w:pPr>
    </w:p>
    <w:p w14:paraId="7B77ABF1">
      <w:pPr>
        <w:ind w:left="492"/>
        <w:rPr>
          <w:w w:val="110"/>
        </w:rPr>
      </w:pPr>
      <w:r>
        <w:rPr>
          <w:w w:val="110"/>
        </w:rPr>
        <w:t>02 16 - SECRETARIA MUNICIPAL DE SAUDE</w:t>
      </w:r>
    </w:p>
    <w:p w14:paraId="6D1BF94D">
      <w:pPr>
        <w:ind w:left="492"/>
        <w:rPr>
          <w:w w:val="110"/>
        </w:rPr>
      </w:pPr>
      <w:r>
        <w:rPr>
          <w:w w:val="110"/>
        </w:rPr>
        <w:t>021601 – FUNDO MUNICIPAL DE SAUDE</w:t>
      </w:r>
    </w:p>
    <w:p w14:paraId="02F11C2E">
      <w:pPr>
        <w:ind w:left="492"/>
        <w:rPr>
          <w:w w:val="110"/>
        </w:rPr>
      </w:pPr>
    </w:p>
    <w:p w14:paraId="363EA29D">
      <w:pPr>
        <w:ind w:left="492"/>
        <w:rPr>
          <w:w w:val="110"/>
        </w:rPr>
      </w:pPr>
      <w:r>
        <w:rPr>
          <w:w w:val="110"/>
        </w:rPr>
        <w:t>FICHA 264</w:t>
      </w:r>
    </w:p>
    <w:p w14:paraId="34300E5D">
      <w:pPr>
        <w:ind w:left="492"/>
        <w:rPr>
          <w:w w:val="110"/>
        </w:rPr>
      </w:pPr>
      <w:r>
        <w:rPr>
          <w:w w:val="110"/>
        </w:rPr>
        <w:t xml:space="preserve">10.301.0034.2015.00003.3.90.39.00 </w:t>
      </w:r>
    </w:p>
    <w:p w14:paraId="449B7E39">
      <w:pPr>
        <w:ind w:left="492"/>
        <w:rPr>
          <w:w w:val="110"/>
        </w:rPr>
      </w:pPr>
      <w:r>
        <w:rPr>
          <w:w w:val="110"/>
        </w:rPr>
        <w:t>OUTROS SERVIÇOS DE TERCEIROS - PESSOA JURÍDICA</w:t>
      </w:r>
    </w:p>
    <w:p w14:paraId="487708C8">
      <w:pPr>
        <w:ind w:left="492"/>
        <w:rPr>
          <w:w w:val="110"/>
        </w:rPr>
      </w:pPr>
    </w:p>
    <w:p w14:paraId="749362C4">
      <w:pPr>
        <w:ind w:left="492"/>
        <w:rPr>
          <w:w w:val="110"/>
        </w:rPr>
      </w:pPr>
      <w:r>
        <w:rPr>
          <w:w w:val="110"/>
        </w:rPr>
        <w:t>FICHA 271</w:t>
      </w:r>
    </w:p>
    <w:p w14:paraId="5BF16067">
      <w:pPr>
        <w:ind w:left="492"/>
        <w:rPr>
          <w:w w:val="110"/>
        </w:rPr>
      </w:pPr>
      <w:r>
        <w:rPr>
          <w:w w:val="110"/>
        </w:rPr>
        <w:t xml:space="preserve">10.301.0034.2015.00163.3.90.39.00 </w:t>
      </w:r>
    </w:p>
    <w:p w14:paraId="37B58865">
      <w:pPr>
        <w:ind w:left="492"/>
        <w:rPr>
          <w:w w:val="110"/>
        </w:rPr>
      </w:pPr>
      <w:r>
        <w:rPr>
          <w:w w:val="110"/>
        </w:rPr>
        <w:t>OUTROS SERVIÇOS DE TERCEIROS - PESSOA JURÍDICA</w:t>
      </w:r>
    </w:p>
    <w:p w14:paraId="71C2185C">
      <w:pPr>
        <w:ind w:left="492"/>
        <w:rPr>
          <w:w w:val="110"/>
        </w:rPr>
      </w:pPr>
    </w:p>
    <w:p w14:paraId="4CDAF9E3">
      <w:pPr>
        <w:ind w:left="492"/>
        <w:rPr>
          <w:w w:val="110"/>
        </w:rPr>
      </w:pPr>
      <w:r>
        <w:rPr>
          <w:w w:val="110"/>
        </w:rPr>
        <w:t>FICHA 276</w:t>
      </w:r>
    </w:p>
    <w:p w14:paraId="0CD547B3">
      <w:pPr>
        <w:ind w:left="492"/>
        <w:rPr>
          <w:w w:val="110"/>
        </w:rPr>
      </w:pPr>
      <w:r>
        <w:rPr>
          <w:w w:val="110"/>
        </w:rPr>
        <w:t xml:space="preserve">10.301.0034.2015.00433.3.90.39.00 </w:t>
      </w:r>
    </w:p>
    <w:p w14:paraId="710A5E8D">
      <w:pPr>
        <w:ind w:left="492"/>
        <w:rPr>
          <w:w w:val="110"/>
        </w:rPr>
      </w:pPr>
      <w:r>
        <w:rPr>
          <w:w w:val="110"/>
        </w:rPr>
        <w:t>OUTROS SERVIÇOS DE TERCEIROS - PESSOA JURÍDICA</w:t>
      </w:r>
    </w:p>
    <w:p w14:paraId="38F4AD87">
      <w:pPr>
        <w:ind w:left="492"/>
        <w:rPr>
          <w:w w:val="110"/>
        </w:rPr>
      </w:pPr>
    </w:p>
    <w:p w14:paraId="2482B21E">
      <w:pPr>
        <w:ind w:left="492"/>
        <w:rPr>
          <w:w w:val="110"/>
        </w:rPr>
      </w:pPr>
      <w:r>
        <w:rPr>
          <w:w w:val="110"/>
        </w:rPr>
        <w:t>FICHA 296</w:t>
      </w:r>
    </w:p>
    <w:p w14:paraId="68062AAA">
      <w:pPr>
        <w:ind w:left="492"/>
        <w:rPr>
          <w:w w:val="110"/>
        </w:rPr>
      </w:pPr>
      <w:r>
        <w:rPr>
          <w:w w:val="110"/>
        </w:rPr>
        <w:t xml:space="preserve">10.302.0034.2041.00103.3.90.39.00 </w:t>
      </w:r>
    </w:p>
    <w:p w14:paraId="2108D0AC">
      <w:pPr>
        <w:ind w:left="492"/>
        <w:rPr>
          <w:w w:val="110"/>
        </w:rPr>
      </w:pPr>
      <w:r>
        <w:rPr>
          <w:w w:val="110"/>
        </w:rPr>
        <w:t>OUTROS SERVIÇOS DE TERCEIROS - PESSOA JURÍDICA</w:t>
      </w:r>
    </w:p>
    <w:p w14:paraId="13B75245">
      <w:pPr>
        <w:ind w:left="492"/>
        <w:rPr>
          <w:w w:val="110"/>
        </w:rPr>
      </w:pPr>
    </w:p>
    <w:p w14:paraId="75BF4058">
      <w:pPr>
        <w:ind w:left="492"/>
        <w:rPr>
          <w:w w:val="110"/>
        </w:rPr>
      </w:pPr>
      <w:r>
        <w:rPr>
          <w:w w:val="110"/>
        </w:rPr>
        <w:t>FICHA 299</w:t>
      </w:r>
    </w:p>
    <w:p w14:paraId="6B422147">
      <w:pPr>
        <w:ind w:left="492"/>
        <w:rPr>
          <w:w w:val="110"/>
        </w:rPr>
      </w:pPr>
      <w:r>
        <w:rPr>
          <w:w w:val="110"/>
        </w:rPr>
        <w:t xml:space="preserve">10.302.0034.2041.03103.3.90.39.00 </w:t>
      </w:r>
    </w:p>
    <w:p w14:paraId="75A69199">
      <w:pPr>
        <w:ind w:left="492"/>
        <w:rPr>
          <w:w w:val="110"/>
        </w:rPr>
      </w:pPr>
      <w:r>
        <w:rPr>
          <w:w w:val="110"/>
        </w:rPr>
        <w:t>OUTROS SERVIÇOS DE TERCEIROS - PESSOA JURÍDICA</w:t>
      </w:r>
    </w:p>
    <w:p w14:paraId="6B20F5FC">
      <w:pPr>
        <w:spacing w:before="23"/>
        <w:ind w:left="492"/>
        <w:rPr>
          <w:spacing w:val="14"/>
          <w:w w:val="110"/>
        </w:rPr>
      </w:pPr>
    </w:p>
    <w:p w14:paraId="732A6E42">
      <w:pPr>
        <w:adjustRightInd w:val="0"/>
        <w:ind w:right="145"/>
        <w:jc w:val="both"/>
        <w:rPr>
          <w:w w:val="115"/>
        </w:rPr>
      </w:pPr>
    </w:p>
    <w:p w14:paraId="41A431B4">
      <w:pPr>
        <w:adjustRightInd w:val="0"/>
        <w:ind w:right="145"/>
        <w:jc w:val="both"/>
        <w:rPr>
          <w:w w:val="115"/>
        </w:rPr>
      </w:pPr>
    </w:p>
    <w:p w14:paraId="53138CBF">
      <w:pPr>
        <w:numPr>
          <w:ilvl w:val="0"/>
          <w:numId w:val="1"/>
        </w:numPr>
        <w:adjustRightInd w:val="0"/>
        <w:ind w:right="145"/>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b/>
          <w:bCs/>
          <w:w w:val="110"/>
        </w:rPr>
        <w:t xml:space="preserve"> </w:t>
      </w:r>
      <w:r>
        <w:rPr>
          <w:b/>
          <w:bCs/>
          <w:w w:val="115"/>
        </w:rPr>
        <w:t xml:space="preserve"> </w:t>
      </w:r>
      <w:r>
        <w:rPr>
          <w:spacing w:val="-2"/>
          <w:w w:val="115"/>
        </w:rPr>
        <w:t xml:space="preserve"> </w:t>
      </w:r>
      <w:r>
        <w:rPr>
          <w:rFonts w:hint="default"/>
          <w:b/>
          <w:bCs/>
          <w:spacing w:val="-2"/>
          <w:w w:val="115"/>
          <w:lang w:val="pt-BR"/>
        </w:rPr>
        <w:t xml:space="preserve">REFERENTE A CONTRATAÇÃO DE EMPRESA ESPECIALIZADA EM CONSULTORIA SOBRE TRATAMENTO E CUIDADO EM FERIDAS E LESÕES PARA ESPECIALIZAÇÃO DE PROFISSIONAIS DA SAÚDE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6"/>
        <w:numPr>
          <w:ilvl w:val="1"/>
          <w:numId w:val="2"/>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6"/>
        <w:numPr>
          <w:ilvl w:val="2"/>
          <w:numId w:val="2"/>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6"/>
        <w:numPr>
          <w:ilvl w:val="1"/>
          <w:numId w:val="2"/>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9"/>
        <w:spacing w:before="35"/>
      </w:pPr>
    </w:p>
    <w:p w14:paraId="0B70ABF4">
      <w:pPr>
        <w:pStyle w:val="2"/>
        <w:numPr>
          <w:ilvl w:val="0"/>
          <w:numId w:val="2"/>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6"/>
        <w:numPr>
          <w:ilvl w:val="1"/>
          <w:numId w:val="2"/>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6"/>
        <w:numPr>
          <w:ilvl w:val="2"/>
          <w:numId w:val="2"/>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6"/>
        <w:numPr>
          <w:ilvl w:val="2"/>
          <w:numId w:val="2"/>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6"/>
        <w:numPr>
          <w:ilvl w:val="2"/>
          <w:numId w:val="2"/>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6"/>
        <w:numPr>
          <w:ilvl w:val="1"/>
          <w:numId w:val="2"/>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6"/>
        <w:numPr>
          <w:ilvl w:val="2"/>
          <w:numId w:val="2"/>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6"/>
        <w:numPr>
          <w:ilvl w:val="2"/>
          <w:numId w:val="2"/>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6"/>
        <w:numPr>
          <w:ilvl w:val="0"/>
          <w:numId w:val="3"/>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6"/>
        <w:numPr>
          <w:ilvl w:val="0"/>
          <w:numId w:val="3"/>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6"/>
        <w:numPr>
          <w:ilvl w:val="0"/>
          <w:numId w:val="3"/>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6"/>
        <w:numPr>
          <w:ilvl w:val="0"/>
          <w:numId w:val="3"/>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6"/>
        <w:numPr>
          <w:ilvl w:val="0"/>
          <w:numId w:val="3"/>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6"/>
        <w:numPr>
          <w:ilvl w:val="0"/>
          <w:numId w:val="3"/>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6"/>
        <w:numPr>
          <w:ilvl w:val="0"/>
          <w:numId w:val="3"/>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6"/>
        <w:numPr>
          <w:ilvl w:val="0"/>
          <w:numId w:val="3"/>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6"/>
        <w:numPr>
          <w:ilvl w:val="0"/>
          <w:numId w:val="3"/>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6"/>
        <w:numPr>
          <w:ilvl w:val="0"/>
          <w:numId w:val="3"/>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6"/>
        <w:numPr>
          <w:ilvl w:val="3"/>
          <w:numId w:val="4"/>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6"/>
        <w:numPr>
          <w:ilvl w:val="3"/>
          <w:numId w:val="4"/>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9"/>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9"/>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6"/>
        <w:numPr>
          <w:ilvl w:val="1"/>
          <w:numId w:val="2"/>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9"/>
        <w:spacing w:before="23"/>
      </w:pPr>
    </w:p>
    <w:p w14:paraId="14C84D84">
      <w:pPr>
        <w:pStyle w:val="2"/>
        <w:numPr>
          <w:ilvl w:val="0"/>
          <w:numId w:val="2"/>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6"/>
        <w:numPr>
          <w:ilvl w:val="1"/>
          <w:numId w:val="2"/>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6"/>
        <w:numPr>
          <w:ilvl w:val="1"/>
          <w:numId w:val="2"/>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9"/>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6"/>
        <w:numPr>
          <w:ilvl w:val="1"/>
          <w:numId w:val="2"/>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6"/>
        <w:numPr>
          <w:ilvl w:val="1"/>
          <w:numId w:val="2"/>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6"/>
        <w:numPr>
          <w:ilvl w:val="2"/>
          <w:numId w:val="2"/>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9"/>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9"/>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9"/>
        <w:spacing w:before="168"/>
      </w:pPr>
    </w:p>
    <w:p w14:paraId="074D5205">
      <w:pPr>
        <w:pStyle w:val="2"/>
        <w:numPr>
          <w:ilvl w:val="0"/>
          <w:numId w:val="2"/>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6"/>
        <w:numPr>
          <w:ilvl w:val="1"/>
          <w:numId w:val="2"/>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6"/>
        <w:numPr>
          <w:ilvl w:val="1"/>
          <w:numId w:val="2"/>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6"/>
        <w:numPr>
          <w:ilvl w:val="2"/>
          <w:numId w:val="2"/>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6"/>
        <w:numPr>
          <w:ilvl w:val="1"/>
          <w:numId w:val="2"/>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6"/>
        <w:numPr>
          <w:ilvl w:val="2"/>
          <w:numId w:val="2"/>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6"/>
        <w:numPr>
          <w:ilvl w:val="2"/>
          <w:numId w:val="2"/>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6"/>
        <w:numPr>
          <w:ilvl w:val="1"/>
          <w:numId w:val="2"/>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6"/>
        <w:numPr>
          <w:ilvl w:val="1"/>
          <w:numId w:val="2"/>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6"/>
        <w:numPr>
          <w:ilvl w:val="1"/>
          <w:numId w:val="2"/>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6"/>
        <w:numPr>
          <w:ilvl w:val="1"/>
          <w:numId w:val="2"/>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6"/>
        <w:numPr>
          <w:ilvl w:val="2"/>
          <w:numId w:val="2"/>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2"/>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6"/>
        <w:numPr>
          <w:ilvl w:val="1"/>
          <w:numId w:val="2"/>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6"/>
        <w:numPr>
          <w:ilvl w:val="1"/>
          <w:numId w:val="2"/>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6"/>
        <w:numPr>
          <w:ilvl w:val="2"/>
          <w:numId w:val="2"/>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6"/>
        <w:numPr>
          <w:ilvl w:val="2"/>
          <w:numId w:val="2"/>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6"/>
        <w:numPr>
          <w:ilvl w:val="2"/>
          <w:numId w:val="2"/>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6"/>
        <w:numPr>
          <w:ilvl w:val="1"/>
          <w:numId w:val="2"/>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6"/>
        <w:numPr>
          <w:ilvl w:val="1"/>
          <w:numId w:val="2"/>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6"/>
        <w:numPr>
          <w:ilvl w:val="1"/>
          <w:numId w:val="2"/>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6"/>
        <w:numPr>
          <w:ilvl w:val="2"/>
          <w:numId w:val="2"/>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6"/>
        <w:numPr>
          <w:ilvl w:val="2"/>
          <w:numId w:val="2"/>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6"/>
        <w:numPr>
          <w:ilvl w:val="2"/>
          <w:numId w:val="2"/>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6"/>
        <w:numPr>
          <w:ilvl w:val="2"/>
          <w:numId w:val="2"/>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6"/>
        <w:numPr>
          <w:ilvl w:val="2"/>
          <w:numId w:val="2"/>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6"/>
        <w:numPr>
          <w:ilvl w:val="1"/>
          <w:numId w:val="2"/>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6"/>
        <w:numPr>
          <w:ilvl w:val="2"/>
          <w:numId w:val="2"/>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6"/>
        <w:numPr>
          <w:ilvl w:val="1"/>
          <w:numId w:val="2"/>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6"/>
        <w:numPr>
          <w:ilvl w:val="1"/>
          <w:numId w:val="2"/>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6"/>
        <w:numPr>
          <w:ilvl w:val="1"/>
          <w:numId w:val="2"/>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6"/>
        <w:numPr>
          <w:ilvl w:val="1"/>
          <w:numId w:val="2"/>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6"/>
        <w:numPr>
          <w:ilvl w:val="1"/>
          <w:numId w:val="2"/>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9"/>
        <w:spacing w:before="72"/>
      </w:pPr>
    </w:p>
    <w:p w14:paraId="2084D552">
      <w:pPr>
        <w:pStyle w:val="2"/>
        <w:numPr>
          <w:ilvl w:val="0"/>
          <w:numId w:val="2"/>
        </w:numPr>
        <w:tabs>
          <w:tab w:val="left" w:pos="809"/>
        </w:tabs>
        <w:ind w:left="809" w:hanging="317"/>
        <w:jc w:val="both"/>
      </w:pPr>
      <w:r>
        <w:rPr>
          <w:spacing w:val="-2"/>
          <w:w w:val="115"/>
        </w:rPr>
        <w:t>HABILITAÇÃO</w:t>
      </w:r>
    </w:p>
    <w:p w14:paraId="22F876C5">
      <w:pPr>
        <w:pStyle w:val="16"/>
        <w:numPr>
          <w:ilvl w:val="1"/>
          <w:numId w:val="2"/>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6"/>
        <w:numPr>
          <w:ilvl w:val="1"/>
          <w:numId w:val="2"/>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9"/>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6"/>
        <w:numPr>
          <w:ilvl w:val="0"/>
          <w:numId w:val="5"/>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6"/>
        <w:numPr>
          <w:ilvl w:val="0"/>
          <w:numId w:val="5"/>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6"/>
        <w:numPr>
          <w:ilvl w:val="2"/>
          <w:numId w:val="2"/>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6"/>
        <w:numPr>
          <w:ilvl w:val="3"/>
          <w:numId w:val="2"/>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6"/>
        <w:numPr>
          <w:ilvl w:val="2"/>
          <w:numId w:val="2"/>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6"/>
        <w:numPr>
          <w:ilvl w:val="1"/>
          <w:numId w:val="2"/>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6"/>
        <w:numPr>
          <w:ilvl w:val="2"/>
          <w:numId w:val="2"/>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6"/>
        <w:numPr>
          <w:ilvl w:val="2"/>
          <w:numId w:val="2"/>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6"/>
        <w:numPr>
          <w:ilvl w:val="1"/>
          <w:numId w:val="2"/>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6"/>
        <w:numPr>
          <w:ilvl w:val="1"/>
          <w:numId w:val="2"/>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6"/>
        <w:numPr>
          <w:ilvl w:val="1"/>
          <w:numId w:val="6"/>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6"/>
        <w:numPr>
          <w:ilvl w:val="1"/>
          <w:numId w:val="6"/>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6"/>
        <w:numPr>
          <w:ilvl w:val="2"/>
          <w:numId w:val="6"/>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6"/>
        <w:numPr>
          <w:ilvl w:val="1"/>
          <w:numId w:val="6"/>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9"/>
        <w:spacing w:before="48"/>
      </w:pPr>
    </w:p>
    <w:p w14:paraId="11CD9135">
      <w:pPr>
        <w:pStyle w:val="2"/>
        <w:numPr>
          <w:ilvl w:val="1"/>
          <w:numId w:val="6"/>
        </w:numPr>
        <w:tabs>
          <w:tab w:val="left" w:pos="1024"/>
        </w:tabs>
        <w:ind w:left="1024" w:hanging="510"/>
        <w:jc w:val="both"/>
      </w:pPr>
      <w:r>
        <w:t>OUTRAS</w:t>
      </w:r>
      <w:r>
        <w:rPr>
          <w:spacing w:val="-7"/>
        </w:rPr>
        <w:t xml:space="preserve"> </w:t>
      </w:r>
      <w:r>
        <w:rPr>
          <w:spacing w:val="-2"/>
        </w:rPr>
        <w:t>COMPROVAÇÕES</w:t>
      </w:r>
    </w:p>
    <w:p w14:paraId="16485854">
      <w:pPr>
        <w:pStyle w:val="16"/>
        <w:numPr>
          <w:ilvl w:val="1"/>
          <w:numId w:val="6"/>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6"/>
        <w:numPr>
          <w:ilvl w:val="1"/>
          <w:numId w:val="6"/>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6"/>
        <w:numPr>
          <w:ilvl w:val="1"/>
          <w:numId w:val="6"/>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6"/>
        <w:numPr>
          <w:ilvl w:val="1"/>
          <w:numId w:val="6"/>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9"/>
        <w:spacing w:before="163"/>
      </w:pPr>
    </w:p>
    <w:p w14:paraId="73DC5CC8">
      <w:pPr>
        <w:pStyle w:val="2"/>
        <w:numPr>
          <w:ilvl w:val="0"/>
          <w:numId w:val="2"/>
        </w:numPr>
        <w:tabs>
          <w:tab w:val="left" w:pos="809"/>
        </w:tabs>
        <w:ind w:left="809" w:hanging="317"/>
        <w:jc w:val="both"/>
      </w:pPr>
      <w:r>
        <w:rPr>
          <w:spacing w:val="-2"/>
          <w:w w:val="115"/>
        </w:rPr>
        <w:t>CONTRATAÇÃO</w:t>
      </w:r>
    </w:p>
    <w:p w14:paraId="67E0514D">
      <w:pPr>
        <w:pStyle w:val="16"/>
        <w:numPr>
          <w:ilvl w:val="1"/>
          <w:numId w:val="2"/>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6"/>
        <w:numPr>
          <w:ilvl w:val="1"/>
          <w:numId w:val="2"/>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6"/>
        <w:numPr>
          <w:ilvl w:val="2"/>
          <w:numId w:val="2"/>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6"/>
        <w:numPr>
          <w:ilvl w:val="2"/>
          <w:numId w:val="2"/>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6"/>
        <w:numPr>
          <w:ilvl w:val="2"/>
          <w:numId w:val="2"/>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6"/>
        <w:numPr>
          <w:ilvl w:val="1"/>
          <w:numId w:val="2"/>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6"/>
        <w:numPr>
          <w:ilvl w:val="1"/>
          <w:numId w:val="2"/>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9"/>
        <w:spacing w:before="43"/>
      </w:pPr>
    </w:p>
    <w:p w14:paraId="0B2EA337">
      <w:pPr>
        <w:pStyle w:val="2"/>
        <w:numPr>
          <w:ilvl w:val="0"/>
          <w:numId w:val="2"/>
        </w:numPr>
        <w:tabs>
          <w:tab w:val="left" w:pos="1200"/>
        </w:tabs>
        <w:ind w:left="1200" w:hanging="708"/>
      </w:pPr>
      <w:r>
        <w:rPr>
          <w:spacing w:val="-2"/>
          <w:w w:val="120"/>
        </w:rPr>
        <w:t>SANÇÕES</w:t>
      </w:r>
    </w:p>
    <w:p w14:paraId="17383B44">
      <w:pPr>
        <w:pStyle w:val="16"/>
        <w:numPr>
          <w:ilvl w:val="1"/>
          <w:numId w:val="2"/>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6"/>
        <w:numPr>
          <w:ilvl w:val="1"/>
          <w:numId w:val="2"/>
        </w:numPr>
        <w:tabs>
          <w:tab w:val="left" w:pos="1388"/>
        </w:tabs>
        <w:spacing w:before="22"/>
        <w:ind w:right="215" w:firstLine="0"/>
      </w:pPr>
      <w:r>
        <w:rPr>
          <w:w w:val="115"/>
        </w:rPr>
        <w:t>Serão aplicadas ao responsável pelas infrações administrativas acima descritas as seguintes sanções:</w:t>
      </w:r>
    </w:p>
    <w:p w14:paraId="1E1F844C">
      <w:pPr>
        <w:pStyle w:val="16"/>
        <w:numPr>
          <w:ilvl w:val="2"/>
          <w:numId w:val="2"/>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6"/>
        <w:numPr>
          <w:ilvl w:val="2"/>
          <w:numId w:val="2"/>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6"/>
        <w:numPr>
          <w:ilvl w:val="2"/>
          <w:numId w:val="2"/>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6"/>
        <w:numPr>
          <w:ilvl w:val="2"/>
          <w:numId w:val="2"/>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6"/>
        <w:numPr>
          <w:ilvl w:val="1"/>
          <w:numId w:val="2"/>
        </w:numPr>
        <w:tabs>
          <w:tab w:val="left" w:pos="1198"/>
        </w:tabs>
        <w:spacing w:before="7"/>
        <w:ind w:left="1198" w:hanging="706"/>
      </w:pPr>
      <w:r>
        <w:rPr>
          <w:b/>
          <w:spacing w:val="-2"/>
          <w:w w:val="115"/>
        </w:rPr>
        <w:t>Multa</w:t>
      </w:r>
      <w:r>
        <w:rPr>
          <w:spacing w:val="-2"/>
          <w:w w:val="115"/>
        </w:rPr>
        <w:t>:</w:t>
      </w:r>
    </w:p>
    <w:p w14:paraId="25E90593">
      <w:pPr>
        <w:pStyle w:val="16"/>
        <w:numPr>
          <w:ilvl w:val="0"/>
          <w:numId w:val="7"/>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6"/>
        <w:numPr>
          <w:ilvl w:val="0"/>
          <w:numId w:val="7"/>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6"/>
        <w:numPr>
          <w:ilvl w:val="2"/>
          <w:numId w:val="2"/>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9"/>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6"/>
        <w:numPr>
          <w:ilvl w:val="1"/>
          <w:numId w:val="2"/>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6"/>
        <w:numPr>
          <w:ilvl w:val="2"/>
          <w:numId w:val="2"/>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6"/>
        <w:numPr>
          <w:ilvl w:val="2"/>
          <w:numId w:val="2"/>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9"/>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6"/>
        <w:numPr>
          <w:ilvl w:val="2"/>
          <w:numId w:val="2"/>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9"/>
      </w:pPr>
    </w:p>
    <w:p w14:paraId="1D6C5ED3">
      <w:pPr>
        <w:pStyle w:val="9"/>
        <w:spacing w:before="31"/>
      </w:pPr>
    </w:p>
    <w:p w14:paraId="617E7E1F">
      <w:pPr>
        <w:pStyle w:val="2"/>
        <w:numPr>
          <w:ilvl w:val="0"/>
          <w:numId w:val="2"/>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6"/>
        <w:numPr>
          <w:ilvl w:val="1"/>
          <w:numId w:val="2"/>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6"/>
        <w:numPr>
          <w:ilvl w:val="1"/>
          <w:numId w:val="2"/>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6"/>
        <w:numPr>
          <w:ilvl w:val="2"/>
          <w:numId w:val="2"/>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6"/>
        <w:numPr>
          <w:ilvl w:val="2"/>
          <w:numId w:val="2"/>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6"/>
        <w:numPr>
          <w:ilvl w:val="2"/>
          <w:numId w:val="2"/>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6"/>
        <w:numPr>
          <w:ilvl w:val="1"/>
          <w:numId w:val="2"/>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6"/>
        <w:numPr>
          <w:ilvl w:val="1"/>
          <w:numId w:val="2"/>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6"/>
        <w:numPr>
          <w:ilvl w:val="1"/>
          <w:numId w:val="2"/>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6"/>
        <w:numPr>
          <w:ilvl w:val="1"/>
          <w:numId w:val="2"/>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6"/>
        <w:numPr>
          <w:ilvl w:val="1"/>
          <w:numId w:val="2"/>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6"/>
        <w:numPr>
          <w:ilvl w:val="1"/>
          <w:numId w:val="2"/>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6"/>
        <w:numPr>
          <w:ilvl w:val="1"/>
          <w:numId w:val="2"/>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6"/>
        <w:numPr>
          <w:ilvl w:val="1"/>
          <w:numId w:val="2"/>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9"/>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6"/>
        <w:numPr>
          <w:ilvl w:val="1"/>
          <w:numId w:val="2"/>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6"/>
        <w:numPr>
          <w:ilvl w:val="1"/>
          <w:numId w:val="2"/>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6"/>
        <w:numPr>
          <w:ilvl w:val="1"/>
          <w:numId w:val="2"/>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6"/>
        <w:numPr>
          <w:ilvl w:val="1"/>
          <w:numId w:val="2"/>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9"/>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9"/>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9"/>
        <w:spacing w:before="50"/>
        <w:rPr>
          <w:sz w:val="18"/>
          <w:szCs w:val="18"/>
        </w:rPr>
      </w:pPr>
    </w:p>
    <w:p w14:paraId="606F34DF">
      <w:pPr>
        <w:pStyle w:val="16"/>
        <w:numPr>
          <w:ilvl w:val="2"/>
          <w:numId w:val="8"/>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6"/>
        <w:numPr>
          <w:ilvl w:val="2"/>
          <w:numId w:val="8"/>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6"/>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6"/>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6"/>
        <w:numPr>
          <w:ilvl w:val="2"/>
          <w:numId w:val="8"/>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6"/>
        <w:numPr>
          <w:ilvl w:val="2"/>
          <w:numId w:val="8"/>
        </w:numPr>
        <w:tabs>
          <w:tab w:val="left" w:pos="1812"/>
        </w:tabs>
        <w:spacing w:before="6"/>
        <w:rPr>
          <w:b/>
          <w:sz w:val="18"/>
          <w:szCs w:val="18"/>
        </w:rPr>
      </w:pPr>
      <w:r>
        <w:rPr>
          <w:b/>
          <w:spacing w:val="-2"/>
          <w:w w:val="115"/>
          <w:sz w:val="18"/>
          <w:szCs w:val="18"/>
        </w:rPr>
        <w:t>ANEXO VI –Modelo de Proposta Comercial</w:t>
      </w:r>
    </w:p>
    <w:p w14:paraId="5F933B44">
      <w:pPr>
        <w:pStyle w:val="16"/>
        <w:numPr>
          <w:ilvl w:val="2"/>
          <w:numId w:val="8"/>
        </w:numPr>
        <w:tabs>
          <w:tab w:val="left" w:pos="1812"/>
        </w:tabs>
        <w:spacing w:before="6"/>
        <w:rPr>
          <w:b/>
          <w:sz w:val="18"/>
          <w:szCs w:val="18"/>
        </w:rPr>
      </w:pPr>
      <w:r>
        <w:rPr>
          <w:b/>
          <w:spacing w:val="-2"/>
          <w:w w:val="115"/>
          <w:sz w:val="18"/>
          <w:szCs w:val="18"/>
        </w:rPr>
        <w:t>ANEXO VII-Termo de Contrato</w:t>
      </w:r>
    </w:p>
    <w:p w14:paraId="2E5589CE">
      <w:pPr>
        <w:pStyle w:val="16"/>
        <w:numPr>
          <w:ilvl w:val="2"/>
          <w:numId w:val="8"/>
        </w:numPr>
        <w:tabs>
          <w:tab w:val="left" w:pos="1812"/>
        </w:tabs>
        <w:spacing w:before="6"/>
        <w:rPr>
          <w:b/>
          <w:sz w:val="18"/>
          <w:szCs w:val="18"/>
        </w:rPr>
      </w:pPr>
      <w:r>
        <w:rPr>
          <w:b/>
          <w:spacing w:val="-2"/>
          <w:w w:val="115"/>
          <w:sz w:val="18"/>
          <w:szCs w:val="18"/>
        </w:rPr>
        <w:t>ANEXO IX –Termo de Ciência e Notificação</w:t>
      </w:r>
    </w:p>
    <w:p w14:paraId="22945F1B">
      <w:pPr>
        <w:pStyle w:val="9"/>
        <w:rPr>
          <w:b/>
          <w:sz w:val="18"/>
          <w:szCs w:val="18"/>
        </w:rPr>
      </w:pPr>
    </w:p>
    <w:p w14:paraId="31115C49">
      <w:pPr>
        <w:pStyle w:val="9"/>
        <w:rPr>
          <w:b/>
          <w:sz w:val="18"/>
          <w:szCs w:val="18"/>
        </w:rPr>
      </w:pPr>
    </w:p>
    <w:p w14:paraId="020E2F52">
      <w:pPr>
        <w:pStyle w:val="9"/>
        <w:spacing w:before="106"/>
        <w:rPr>
          <w:b/>
          <w:sz w:val="18"/>
          <w:szCs w:val="18"/>
        </w:rPr>
      </w:pPr>
    </w:p>
    <w:p w14:paraId="753A053F">
      <w:pPr>
        <w:pStyle w:val="9"/>
        <w:ind w:left="1341" w:right="889"/>
        <w:jc w:val="center"/>
        <w:rPr>
          <w:sz w:val="18"/>
          <w:szCs w:val="18"/>
        </w:rPr>
      </w:pPr>
      <w:bookmarkStart w:id="2" w:name="_Hlk189576754"/>
      <w:r>
        <w:rPr>
          <w:w w:val="115"/>
          <w:sz w:val="18"/>
          <w:szCs w:val="18"/>
        </w:rPr>
        <w:t>RIFAINA/SP,</w:t>
      </w:r>
      <w:r>
        <w:rPr>
          <w:rFonts w:hint="default"/>
          <w:w w:val="115"/>
          <w:sz w:val="18"/>
          <w:szCs w:val="18"/>
          <w:lang w:val="pt-BR"/>
        </w:rPr>
        <w:t>05 de setembro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9"/>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9"/>
        <w:spacing w:before="43"/>
        <w:jc w:val="center"/>
        <w:rPr>
          <w:b/>
        </w:rPr>
      </w:pPr>
      <w:r>
        <w:rPr>
          <w:b/>
        </w:rPr>
        <w:t xml:space="preserve">ANEXO I </w:t>
      </w:r>
    </w:p>
    <w:p w14:paraId="3501CE77">
      <w:pPr>
        <w:pStyle w:val="9"/>
        <w:spacing w:before="43"/>
        <w:rPr>
          <w:b/>
        </w:rPr>
      </w:pPr>
    </w:p>
    <w:p w14:paraId="215A6F91">
      <w:pPr>
        <w:pStyle w:val="9"/>
        <w:spacing w:before="43"/>
        <w:rPr>
          <w:b/>
        </w:rPr>
      </w:pPr>
    </w:p>
    <w:p w14:paraId="2576DA54">
      <w:pPr>
        <w:pStyle w:val="2"/>
        <w:ind w:left="2575"/>
      </w:pPr>
      <w:r>
        <w:rPr>
          <w:w w:val="115"/>
        </w:rPr>
        <w:t>DESCRIÇÃO</w:t>
      </w:r>
      <w:r>
        <w:rPr>
          <w:spacing w:val="16"/>
          <w:w w:val="115"/>
        </w:rPr>
        <w:t xml:space="preserve"> </w:t>
      </w:r>
      <w:r>
        <w:rPr>
          <w:w w:val="115"/>
        </w:rPr>
        <w:t>SUMÁRIA</w:t>
      </w:r>
      <w:r>
        <w:rPr>
          <w:spacing w:val="19"/>
          <w:w w:val="115"/>
        </w:rPr>
        <w:t xml:space="preserve"> </w:t>
      </w:r>
      <w:r>
        <w:rPr>
          <w:w w:val="115"/>
        </w:rPr>
        <w:t>DO</w:t>
      </w:r>
      <w:r>
        <w:rPr>
          <w:spacing w:val="14"/>
          <w:w w:val="115"/>
        </w:rPr>
        <w:t xml:space="preserve"> </w:t>
      </w:r>
      <w:r>
        <w:rPr>
          <w:spacing w:val="-2"/>
          <w:w w:val="115"/>
        </w:rPr>
        <w:t>OBJETO</w:t>
      </w:r>
    </w:p>
    <w:p w14:paraId="5BA29B63">
      <w:pPr>
        <w:pStyle w:val="9"/>
        <w:spacing w:before="77"/>
        <w:rPr>
          <w:b/>
        </w:rPr>
      </w:pPr>
    </w:p>
    <w:p w14:paraId="082FFAC3">
      <w:pPr>
        <w:pStyle w:val="16"/>
        <w:tabs>
          <w:tab w:val="left" w:pos="567"/>
        </w:tabs>
        <w:spacing w:before="138"/>
        <w:ind w:left="220"/>
        <w:rPr>
          <w:b/>
          <w:spacing w:val="4"/>
          <w:w w:val="110"/>
          <w:sz w:val="24"/>
        </w:rPr>
      </w:pPr>
      <w:r>
        <w:rPr>
          <w:b/>
          <w:spacing w:val="4"/>
          <w:w w:val="110"/>
          <w:sz w:val="24"/>
        </w:rPr>
        <w:t>OBJETO:</w:t>
      </w:r>
      <w:r>
        <w:rPr>
          <w:b/>
          <w:spacing w:val="4"/>
          <w:w w:val="110"/>
          <w:sz w:val="24"/>
          <w:lang w:val="pt-BR"/>
        </w:rPr>
        <w:t xml:space="preserve"> </w:t>
      </w:r>
      <w:r>
        <w:rPr>
          <w:rFonts w:hint="default"/>
          <w:b/>
          <w:spacing w:val="4"/>
          <w:w w:val="110"/>
          <w:sz w:val="24"/>
          <w:lang w:val="pt-BR"/>
        </w:rPr>
        <w:t>REFERENTE A CONTRATAÇÃO DE EMPRESA ESPECIALIZADA EM CONSULTORIA SOBRE TRATAMENTO E CUIDADO EM FERIDAS E LESÕES PARA ESPECIALIZAÇÃO DE PROFISSIONAIS DA SAÚDE</w:t>
      </w:r>
    </w:p>
    <w:p w14:paraId="33B3BD7E">
      <w:pPr>
        <w:pStyle w:val="16"/>
        <w:tabs>
          <w:tab w:val="left" w:pos="567"/>
        </w:tabs>
        <w:spacing w:before="138"/>
        <w:ind w:left="220"/>
        <w:rPr>
          <w:b/>
          <w:spacing w:val="4"/>
          <w:w w:val="110"/>
          <w:sz w:val="24"/>
        </w:rPr>
      </w:pPr>
    </w:p>
    <w:p w14:paraId="6E308EFD">
      <w:pPr>
        <w:pStyle w:val="20"/>
        <w:jc w:val="both"/>
        <w:rPr>
          <w:rFonts w:ascii="Arial Narrow" w:hAnsi="Arial Narrow" w:cstheme="minorHAnsi"/>
          <w:b/>
          <w:bCs/>
          <w:sz w:val="20"/>
          <w:szCs w:val="20"/>
        </w:rPr>
      </w:pPr>
      <w:r>
        <w:rPr>
          <w:rFonts w:ascii="Arial Narrow" w:hAnsi="Arial Narrow" w:cstheme="minorHAnsi"/>
          <w:sz w:val="20"/>
          <w:szCs w:val="20"/>
        </w:rPr>
        <w:t>I</w:t>
      </w:r>
    </w:p>
    <w:tbl>
      <w:tblPr>
        <w:tblStyle w:val="4"/>
        <w:tblW w:w="9260" w:type="dxa"/>
        <w:tblInd w:w="80" w:type="dxa"/>
        <w:tblLayout w:type="autofit"/>
        <w:tblCellMar>
          <w:top w:w="0" w:type="dxa"/>
          <w:left w:w="70" w:type="dxa"/>
          <w:bottom w:w="0" w:type="dxa"/>
          <w:right w:w="70" w:type="dxa"/>
        </w:tblCellMar>
      </w:tblPr>
      <w:tblGrid>
        <w:gridCol w:w="1443"/>
        <w:gridCol w:w="1443"/>
        <w:gridCol w:w="1443"/>
        <w:gridCol w:w="4931"/>
      </w:tblGrid>
      <w:tr w14:paraId="3ABD5C0E">
        <w:tblPrEx>
          <w:tblCellMar>
            <w:top w:w="0" w:type="dxa"/>
            <w:left w:w="70" w:type="dxa"/>
            <w:bottom w:w="0" w:type="dxa"/>
            <w:right w:w="70" w:type="dxa"/>
          </w:tblCellMar>
        </w:tblPrEx>
        <w:trPr>
          <w:trHeight w:val="315" w:hRule="atLeast"/>
        </w:trPr>
        <w:tc>
          <w:tcPr>
            <w:tcW w:w="960" w:type="dxa"/>
            <w:tcBorders>
              <w:top w:val="single" w:color="auto" w:sz="8" w:space="0"/>
              <w:left w:val="single" w:color="auto" w:sz="8" w:space="0"/>
              <w:bottom w:val="single" w:color="auto" w:sz="8" w:space="0"/>
              <w:right w:val="single" w:color="auto" w:sz="8" w:space="0"/>
            </w:tcBorders>
            <w:noWrap/>
            <w:vAlign w:val="center"/>
          </w:tcPr>
          <w:p w14:paraId="089D03D9">
            <w:pPr>
              <w:suppressAutoHyphens w:val="0"/>
              <w:rPr>
                <w:rFonts w:ascii="Arial" w:hAnsi="Arial" w:cs="Arial"/>
                <w:b/>
                <w:bCs/>
                <w:color w:val="000000"/>
                <w:lang w:eastAsia="pt-BR"/>
              </w:rPr>
            </w:pPr>
            <w:r>
              <w:rPr>
                <w:rFonts w:ascii="Arial" w:hAnsi="Arial" w:cs="Arial"/>
                <w:b/>
                <w:bCs/>
                <w:color w:val="000000"/>
                <w:lang w:eastAsia="pt-BR"/>
              </w:rPr>
              <w:t>ITEM</w:t>
            </w:r>
          </w:p>
        </w:tc>
        <w:tc>
          <w:tcPr>
            <w:tcW w:w="960" w:type="dxa"/>
            <w:tcBorders>
              <w:top w:val="single" w:color="auto" w:sz="8" w:space="0"/>
              <w:left w:val="nil"/>
              <w:bottom w:val="single" w:color="auto" w:sz="8" w:space="0"/>
              <w:right w:val="single" w:color="auto" w:sz="8" w:space="0"/>
            </w:tcBorders>
            <w:noWrap/>
            <w:vAlign w:val="center"/>
          </w:tcPr>
          <w:p w14:paraId="36E863C0">
            <w:pPr>
              <w:suppressAutoHyphens w:val="0"/>
              <w:rPr>
                <w:rFonts w:ascii="Arial" w:hAnsi="Arial" w:cs="Arial"/>
                <w:b/>
                <w:bCs/>
                <w:color w:val="000000"/>
                <w:lang w:eastAsia="pt-BR"/>
              </w:rPr>
            </w:pPr>
            <w:r>
              <w:rPr>
                <w:rFonts w:ascii="Arial" w:hAnsi="Arial" w:cs="Arial"/>
                <w:b/>
                <w:bCs/>
                <w:color w:val="000000"/>
                <w:lang w:eastAsia="pt-BR"/>
              </w:rPr>
              <w:t>UNID</w:t>
            </w:r>
          </w:p>
        </w:tc>
        <w:tc>
          <w:tcPr>
            <w:tcW w:w="960" w:type="dxa"/>
            <w:tcBorders>
              <w:top w:val="single" w:color="auto" w:sz="8" w:space="0"/>
              <w:left w:val="nil"/>
              <w:bottom w:val="single" w:color="auto" w:sz="8" w:space="0"/>
              <w:right w:val="single" w:color="auto" w:sz="8" w:space="0"/>
            </w:tcBorders>
            <w:noWrap/>
            <w:vAlign w:val="center"/>
          </w:tcPr>
          <w:p w14:paraId="3EF74D03">
            <w:pPr>
              <w:suppressAutoHyphens w:val="0"/>
              <w:rPr>
                <w:rFonts w:ascii="Arial" w:hAnsi="Arial" w:cs="Arial"/>
                <w:b/>
                <w:bCs/>
                <w:color w:val="000000"/>
                <w:lang w:eastAsia="pt-BR"/>
              </w:rPr>
            </w:pPr>
            <w:r>
              <w:rPr>
                <w:rFonts w:ascii="Arial" w:hAnsi="Arial" w:cs="Arial"/>
                <w:b/>
                <w:bCs/>
                <w:color w:val="000000"/>
                <w:lang w:eastAsia="pt-BR"/>
              </w:rPr>
              <w:t>QUANT</w:t>
            </w:r>
          </w:p>
        </w:tc>
        <w:tc>
          <w:tcPr>
            <w:tcW w:w="3280" w:type="dxa"/>
            <w:tcBorders>
              <w:top w:val="single" w:color="auto" w:sz="8" w:space="0"/>
              <w:left w:val="nil"/>
              <w:bottom w:val="single" w:color="auto" w:sz="8" w:space="0"/>
              <w:right w:val="single" w:color="auto" w:sz="8" w:space="0"/>
            </w:tcBorders>
            <w:noWrap/>
            <w:vAlign w:val="center"/>
          </w:tcPr>
          <w:p w14:paraId="63FEE0F5">
            <w:pPr>
              <w:suppressAutoHyphens w:val="0"/>
              <w:rPr>
                <w:rFonts w:ascii="Arial" w:hAnsi="Arial" w:cs="Arial"/>
                <w:b/>
                <w:bCs/>
                <w:color w:val="000000"/>
                <w:lang w:eastAsia="pt-BR"/>
              </w:rPr>
            </w:pPr>
            <w:r>
              <w:rPr>
                <w:rFonts w:ascii="Arial" w:hAnsi="Arial" w:cs="Arial"/>
                <w:b/>
                <w:bCs/>
                <w:color w:val="000000"/>
                <w:lang w:eastAsia="pt-BR"/>
              </w:rPr>
              <w:t>NOME DO PRODUTO</w:t>
            </w:r>
          </w:p>
        </w:tc>
      </w:tr>
      <w:tr w14:paraId="2A1D148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noWrap/>
            <w:vAlign w:val="center"/>
          </w:tcPr>
          <w:p w14:paraId="5508D1B4">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nil"/>
              <w:left w:val="nil"/>
              <w:bottom w:val="single" w:color="auto" w:sz="8" w:space="0"/>
              <w:right w:val="single" w:color="auto" w:sz="8" w:space="0"/>
            </w:tcBorders>
            <w:noWrap/>
            <w:vAlign w:val="center"/>
          </w:tcPr>
          <w:p w14:paraId="1336D18F">
            <w:pPr>
              <w:suppressAutoHyphens w:val="0"/>
              <w:rPr>
                <w:rFonts w:ascii="Arial" w:hAnsi="Arial" w:cs="Arial"/>
                <w:color w:val="000000"/>
                <w:lang w:eastAsia="pt-BR"/>
              </w:rPr>
            </w:pPr>
            <w:r>
              <w:rPr>
                <w:rFonts w:ascii="Arial" w:hAnsi="Arial" w:cs="Arial"/>
                <w:color w:val="000000"/>
                <w:lang w:eastAsia="pt-BR"/>
              </w:rPr>
              <w:t>MÊS</w:t>
            </w:r>
          </w:p>
        </w:tc>
        <w:tc>
          <w:tcPr>
            <w:tcW w:w="960" w:type="dxa"/>
            <w:tcBorders>
              <w:top w:val="nil"/>
              <w:left w:val="nil"/>
              <w:bottom w:val="single" w:color="auto" w:sz="8" w:space="0"/>
              <w:right w:val="single" w:color="auto" w:sz="8" w:space="0"/>
            </w:tcBorders>
            <w:noWrap/>
            <w:vAlign w:val="center"/>
          </w:tcPr>
          <w:p w14:paraId="677267FC">
            <w:pPr>
              <w:suppressAutoHyphens w:val="0"/>
              <w:jc w:val="right"/>
              <w:rPr>
                <w:rFonts w:ascii="Arial" w:hAnsi="Arial" w:cs="Arial"/>
                <w:color w:val="000000"/>
                <w:lang w:eastAsia="pt-BR"/>
              </w:rPr>
            </w:pPr>
            <w:r>
              <w:rPr>
                <w:rFonts w:ascii="Arial" w:hAnsi="Arial" w:cs="Arial"/>
                <w:color w:val="000000"/>
                <w:lang w:eastAsia="pt-BR"/>
              </w:rPr>
              <w:t>6</w:t>
            </w:r>
          </w:p>
        </w:tc>
        <w:tc>
          <w:tcPr>
            <w:tcW w:w="3280" w:type="dxa"/>
            <w:tcBorders>
              <w:top w:val="nil"/>
              <w:left w:val="nil"/>
              <w:bottom w:val="single" w:color="auto" w:sz="8" w:space="0"/>
              <w:right w:val="single" w:color="auto" w:sz="8" w:space="0"/>
            </w:tcBorders>
            <w:noWrap/>
            <w:vAlign w:val="center"/>
          </w:tcPr>
          <w:p w14:paraId="6368C3EE">
            <w:pPr>
              <w:suppressAutoHyphens w:val="0"/>
              <w:rPr>
                <w:rFonts w:ascii="Arial" w:hAnsi="Arial" w:cs="Arial"/>
                <w:color w:val="000000"/>
                <w:lang w:eastAsia="pt-BR"/>
              </w:rPr>
            </w:pPr>
            <w:r>
              <w:rPr>
                <w:rFonts w:ascii="Arial" w:hAnsi="Arial" w:cs="Arial"/>
                <w:color w:val="000000"/>
                <w:lang w:eastAsia="pt-BR"/>
              </w:rPr>
              <w:t xml:space="preserve">CONSULTORIA SOBRE TRATAMENTO E CUIDADOS DOMICILIARES EM FERIDAS E LESÕES PARA ESPECIALIZAÇÃO DE PROFISSIONAIS DA SÁUDE </w:t>
            </w:r>
          </w:p>
        </w:tc>
      </w:tr>
    </w:tbl>
    <w:p w14:paraId="010F6FDE">
      <w:pPr>
        <w:pStyle w:val="20"/>
        <w:jc w:val="both"/>
        <w:rPr>
          <w:rFonts w:ascii="Arial Narrow" w:hAnsi="Arial Narrow" w:cstheme="minorHAnsi"/>
          <w:b/>
          <w:bCs/>
          <w:sz w:val="20"/>
          <w:szCs w:val="20"/>
        </w:rPr>
      </w:pPr>
    </w:p>
    <w:p w14:paraId="1CFE1863">
      <w:pPr>
        <w:pStyle w:val="2"/>
        <w:ind w:right="20"/>
        <w:jc w:val="center"/>
        <w:rPr>
          <w:w w:val="115"/>
        </w:rPr>
      </w:pPr>
    </w:p>
    <w:p w14:paraId="2331CB1D">
      <w:pPr>
        <w:jc w:val="both"/>
        <w:rPr>
          <w:rFonts w:ascii="Arial" w:hAnsi="Arial" w:cs="Arial"/>
          <w:sz w:val="24"/>
          <w:szCs w:val="24"/>
        </w:rPr>
      </w:pPr>
    </w:p>
    <w:p w14:paraId="4849E084">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3B8D1C09">
      <w:pPr>
        <w:rPr>
          <w:w w:val="115"/>
        </w:rPr>
      </w:pPr>
    </w:p>
    <w:p w14:paraId="2F796302">
      <w:pPr>
        <w:rPr>
          <w:w w:val="115"/>
        </w:rPr>
      </w:pPr>
    </w:p>
    <w:p w14:paraId="5ED8001E">
      <w:pPr>
        <w:rPr>
          <w:w w:val="115"/>
        </w:rPr>
      </w:pPr>
    </w:p>
    <w:p w14:paraId="1F89682D">
      <w:pPr>
        <w:rPr>
          <w:w w:val="115"/>
        </w:rPr>
      </w:pPr>
    </w:p>
    <w:p w14:paraId="756E41B0">
      <w:pPr>
        <w:rPr>
          <w:w w:val="115"/>
        </w:rPr>
      </w:pPr>
    </w:p>
    <w:p w14:paraId="21DAF7BF">
      <w:pPr>
        <w:rPr>
          <w:w w:val="115"/>
        </w:rPr>
      </w:pPr>
    </w:p>
    <w:p w14:paraId="685F2922">
      <w:pPr>
        <w:rPr>
          <w:w w:val="115"/>
        </w:rPr>
      </w:pPr>
    </w:p>
    <w:p w14:paraId="25B9F9E2">
      <w:pPr>
        <w:rPr>
          <w:w w:val="115"/>
        </w:rPr>
      </w:pPr>
    </w:p>
    <w:p w14:paraId="1CDEFD9D">
      <w:pPr>
        <w:rPr>
          <w:w w:val="115"/>
        </w:rPr>
      </w:pPr>
    </w:p>
    <w:p w14:paraId="6A425A49">
      <w:pPr>
        <w:rPr>
          <w:w w:val="115"/>
        </w:rPr>
      </w:pPr>
    </w:p>
    <w:p w14:paraId="51C4F28D">
      <w:pPr>
        <w:rPr>
          <w:w w:val="115"/>
        </w:rPr>
      </w:pPr>
    </w:p>
    <w:p w14:paraId="3766827A">
      <w:pPr>
        <w:rPr>
          <w:w w:val="115"/>
        </w:rPr>
      </w:pPr>
    </w:p>
    <w:p w14:paraId="77409EED">
      <w:pPr>
        <w:rPr>
          <w:w w:val="115"/>
        </w:rPr>
      </w:pPr>
    </w:p>
    <w:p w14:paraId="45BA179A">
      <w:pPr>
        <w:rPr>
          <w:w w:val="115"/>
        </w:rPr>
      </w:pPr>
    </w:p>
    <w:p w14:paraId="4F22288A">
      <w:pPr>
        <w:rPr>
          <w:w w:val="115"/>
        </w:rPr>
      </w:pPr>
    </w:p>
    <w:p w14:paraId="270C1DB2">
      <w:pPr>
        <w:rPr>
          <w:w w:val="115"/>
        </w:rPr>
      </w:pPr>
    </w:p>
    <w:p w14:paraId="03607841">
      <w:pPr>
        <w:rPr>
          <w:w w:val="115"/>
        </w:rPr>
      </w:pPr>
    </w:p>
    <w:p w14:paraId="13387B63">
      <w:pPr>
        <w:rPr>
          <w:w w:val="115"/>
        </w:rPr>
      </w:pPr>
    </w:p>
    <w:p w14:paraId="0B3CABE7">
      <w:pPr>
        <w:rPr>
          <w:w w:val="115"/>
        </w:rPr>
      </w:pPr>
    </w:p>
    <w:p w14:paraId="53E8E638">
      <w:pPr>
        <w:rPr>
          <w:w w:val="115"/>
        </w:rPr>
      </w:pPr>
    </w:p>
    <w:p w14:paraId="1E17546C">
      <w:pPr>
        <w:rPr>
          <w:w w:val="115"/>
        </w:rPr>
      </w:pPr>
    </w:p>
    <w:p w14:paraId="720ED7A9">
      <w:pPr>
        <w:rPr>
          <w:w w:val="115"/>
        </w:rPr>
      </w:pPr>
    </w:p>
    <w:p w14:paraId="49A7AC5D">
      <w:pPr>
        <w:rPr>
          <w:w w:val="115"/>
        </w:rPr>
      </w:pPr>
    </w:p>
    <w:p w14:paraId="79FBBD4F">
      <w:pPr>
        <w:rPr>
          <w:w w:val="115"/>
        </w:rPr>
      </w:pPr>
    </w:p>
    <w:p w14:paraId="12C46449">
      <w:pPr>
        <w:rPr>
          <w:w w:val="115"/>
        </w:rPr>
      </w:pPr>
    </w:p>
    <w:p w14:paraId="737FDEEC">
      <w:pPr>
        <w:rPr>
          <w:w w:val="115"/>
        </w:rPr>
      </w:pPr>
    </w:p>
    <w:p w14:paraId="7BBFA648">
      <w:pPr>
        <w:rPr>
          <w:w w:val="115"/>
        </w:rPr>
      </w:pPr>
    </w:p>
    <w:p w14:paraId="4157E3F6">
      <w:pPr>
        <w:rPr>
          <w:w w:val="115"/>
        </w:rPr>
      </w:pPr>
    </w:p>
    <w:p w14:paraId="0B08D08E">
      <w:pPr>
        <w:rPr>
          <w:w w:val="115"/>
        </w:rPr>
      </w:pPr>
    </w:p>
    <w:p w14:paraId="52C114D2">
      <w:pPr>
        <w:rPr>
          <w:w w:val="115"/>
        </w:rPr>
      </w:pPr>
    </w:p>
    <w:p w14:paraId="0321907C">
      <w:pP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9"/>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9"/>
        <w:spacing w:before="44"/>
        <w:rPr>
          <w:b/>
        </w:rPr>
      </w:pPr>
    </w:p>
    <w:p w14:paraId="170180A3">
      <w:pPr>
        <w:pStyle w:val="2"/>
        <w:numPr>
          <w:ilvl w:val="0"/>
          <w:numId w:val="9"/>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6"/>
        <w:numPr>
          <w:ilvl w:val="1"/>
          <w:numId w:val="9"/>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6"/>
        <w:numPr>
          <w:ilvl w:val="1"/>
          <w:numId w:val="9"/>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6"/>
        <w:numPr>
          <w:ilvl w:val="1"/>
          <w:numId w:val="9"/>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6"/>
        <w:numPr>
          <w:ilvl w:val="1"/>
          <w:numId w:val="9"/>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6"/>
        <w:numPr>
          <w:ilvl w:val="1"/>
          <w:numId w:val="9"/>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6"/>
        <w:numPr>
          <w:ilvl w:val="1"/>
          <w:numId w:val="9"/>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6"/>
        <w:numPr>
          <w:ilvl w:val="1"/>
          <w:numId w:val="9"/>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9"/>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6"/>
        <w:numPr>
          <w:ilvl w:val="1"/>
          <w:numId w:val="9"/>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6"/>
        <w:numPr>
          <w:ilvl w:val="1"/>
          <w:numId w:val="9"/>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737A629A">
      <w:pPr>
        <w:pStyle w:val="16"/>
        <w:numPr>
          <w:ilvl w:val="1"/>
          <w:numId w:val="9"/>
        </w:numPr>
        <w:tabs>
          <w:tab w:val="left" w:pos="1091"/>
        </w:tabs>
        <w:spacing w:before="21"/>
        <w:ind w:left="1091" w:hanging="577"/>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6"/>
        <w:numPr>
          <w:ilvl w:val="1"/>
          <w:numId w:val="9"/>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9"/>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6"/>
        <w:numPr>
          <w:ilvl w:val="1"/>
          <w:numId w:val="9"/>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9"/>
        <w:spacing w:before="52"/>
      </w:pPr>
    </w:p>
    <w:p w14:paraId="05ACF993">
      <w:pPr>
        <w:pStyle w:val="2"/>
        <w:numPr>
          <w:ilvl w:val="1"/>
          <w:numId w:val="9"/>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6"/>
        <w:numPr>
          <w:ilvl w:val="1"/>
          <w:numId w:val="9"/>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6"/>
        <w:numPr>
          <w:ilvl w:val="1"/>
          <w:numId w:val="9"/>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6"/>
        <w:numPr>
          <w:ilvl w:val="1"/>
          <w:numId w:val="9"/>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6"/>
        <w:numPr>
          <w:ilvl w:val="1"/>
          <w:numId w:val="9"/>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9"/>
        <w:spacing w:before="53"/>
      </w:pPr>
    </w:p>
    <w:p w14:paraId="308758E3">
      <w:pPr>
        <w:pStyle w:val="2"/>
        <w:numPr>
          <w:ilvl w:val="0"/>
          <w:numId w:val="9"/>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9"/>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9"/>
        <w:ind w:right="196"/>
        <w:jc w:val="both"/>
        <w:rPr>
          <w:w w:val="110"/>
        </w:rPr>
      </w:pPr>
    </w:p>
    <w:p w14:paraId="5A359B08">
      <w:pPr>
        <w:pStyle w:val="9"/>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588E0BFB">
      <w:pPr>
        <w:spacing w:before="71"/>
        <w:ind w:right="889"/>
        <w:jc w:val="center"/>
        <w:rPr>
          <w:b/>
          <w:spacing w:val="11"/>
          <w:w w:val="115"/>
        </w:rPr>
      </w:pPr>
    </w:p>
    <w:p w14:paraId="65BA13BF">
      <w:pPr>
        <w:spacing w:before="71"/>
        <w:ind w:right="889"/>
        <w:jc w:val="center"/>
        <w:rPr>
          <w:b/>
          <w:spacing w:val="11"/>
          <w:w w:val="115"/>
        </w:rPr>
      </w:pPr>
    </w:p>
    <w:p w14:paraId="4406EC4F">
      <w:pPr>
        <w:spacing w:before="71"/>
        <w:ind w:right="889"/>
        <w:jc w:val="center"/>
        <w:rPr>
          <w:b/>
          <w:spacing w:val="11"/>
          <w:w w:val="115"/>
        </w:rPr>
      </w:pPr>
    </w:p>
    <w:p w14:paraId="1F7EAAE4">
      <w:pPr>
        <w:spacing w:before="71"/>
        <w:ind w:right="889"/>
        <w:jc w:val="center"/>
        <w:rPr>
          <w:b/>
          <w:spacing w:val="11"/>
          <w:w w:val="115"/>
        </w:rPr>
      </w:pPr>
    </w:p>
    <w:p w14:paraId="56F99805">
      <w:pPr>
        <w:spacing w:before="71"/>
        <w:ind w:right="889"/>
        <w:jc w:val="center"/>
        <w:rPr>
          <w:b/>
          <w:spacing w:val="11"/>
          <w:w w:val="115"/>
        </w:rPr>
      </w:pPr>
    </w:p>
    <w:p w14:paraId="036007C2">
      <w:pPr>
        <w:spacing w:before="71"/>
        <w:ind w:right="889"/>
        <w:jc w:val="center"/>
        <w:rPr>
          <w:b/>
          <w:spacing w:val="11"/>
          <w:w w:val="115"/>
        </w:rPr>
      </w:pPr>
    </w:p>
    <w:p w14:paraId="5B247634">
      <w:pPr>
        <w:spacing w:before="71"/>
        <w:ind w:right="889"/>
        <w:jc w:val="center"/>
        <w:rPr>
          <w:b/>
          <w:spacing w:val="11"/>
          <w:w w:val="115"/>
        </w:rPr>
      </w:pPr>
    </w:p>
    <w:p w14:paraId="0235F8B0">
      <w:pPr>
        <w:spacing w:before="71"/>
        <w:ind w:right="889"/>
        <w:jc w:val="center"/>
        <w:rPr>
          <w:b/>
          <w:spacing w:val="11"/>
          <w:w w:val="115"/>
        </w:rPr>
      </w:pPr>
    </w:p>
    <w:p w14:paraId="2002BE53">
      <w:pPr>
        <w:spacing w:before="71"/>
        <w:ind w:right="889"/>
        <w:jc w:val="center"/>
        <w:rPr>
          <w:b/>
          <w:spacing w:val="11"/>
          <w:w w:val="115"/>
        </w:rPr>
      </w:pPr>
    </w:p>
    <w:p w14:paraId="08F40DDB">
      <w:pPr>
        <w:spacing w:before="71"/>
        <w:ind w:right="889"/>
        <w:jc w:val="center"/>
        <w:rPr>
          <w:b/>
          <w:spacing w:val="11"/>
          <w:w w:val="115"/>
        </w:rPr>
      </w:pPr>
    </w:p>
    <w:p w14:paraId="22428E79">
      <w:pPr>
        <w:spacing w:before="71"/>
        <w:ind w:right="889"/>
        <w:jc w:val="center"/>
        <w:rPr>
          <w:b/>
          <w:spacing w:val="11"/>
          <w:w w:val="115"/>
        </w:rPr>
      </w:pPr>
    </w:p>
    <w:p w14:paraId="01BECE87">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9"/>
        <w:spacing w:before="72"/>
        <w:rPr>
          <w:b/>
        </w:rPr>
      </w:pPr>
    </w:p>
    <w:p w14:paraId="3EA1FEA2">
      <w:pPr>
        <w:pStyle w:val="9"/>
        <w:spacing w:before="72"/>
        <w:rPr>
          <w:rFonts w:hint="default"/>
          <w:b/>
          <w:lang w:val="pt-BR"/>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9"/>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9"/>
        <w:spacing w:before="8"/>
        <w:rPr>
          <w:b/>
        </w:rPr>
      </w:pPr>
    </w:p>
    <w:p w14:paraId="3671904F">
      <w:pPr>
        <w:pStyle w:val="9"/>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9"/>
        <w:spacing w:before="5"/>
      </w:pPr>
    </w:p>
    <w:p w14:paraId="20B40256">
      <w:pPr>
        <w:pStyle w:val="9"/>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9"/>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9"/>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9"/>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9"/>
        <w:spacing w:before="2"/>
      </w:pPr>
    </w:p>
    <w:p w14:paraId="347ACC7C">
      <w:pPr>
        <w:pStyle w:val="9"/>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9"/>
        <w:spacing w:before="2"/>
      </w:pPr>
    </w:p>
    <w:p w14:paraId="2D8FECD5">
      <w:pPr>
        <w:pStyle w:val="9"/>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9"/>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9"/>
      </w:pPr>
    </w:p>
    <w:p w14:paraId="727CFA7C">
      <w:pPr>
        <w:pStyle w:val="9"/>
      </w:pPr>
    </w:p>
    <w:p w14:paraId="3FA26C92">
      <w:pPr>
        <w:pStyle w:val="9"/>
      </w:pPr>
    </w:p>
    <w:p w14:paraId="552BEAE3">
      <w:pPr>
        <w:pStyle w:val="9"/>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9"/>
      </w:pPr>
    </w:p>
    <w:p w14:paraId="557A5207">
      <w:pPr>
        <w:pStyle w:val="9"/>
      </w:pPr>
    </w:p>
    <w:p w14:paraId="50A9B58D">
      <w:pPr>
        <w:pStyle w:val="9"/>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9"/>
        <w:rPr>
          <w:sz w:val="20"/>
        </w:rPr>
      </w:pPr>
    </w:p>
    <w:p w14:paraId="776EC92A">
      <w:pPr>
        <w:pStyle w:val="9"/>
        <w:rPr>
          <w:sz w:val="20"/>
        </w:rPr>
      </w:pPr>
    </w:p>
    <w:p w14:paraId="70284046">
      <w:pPr>
        <w:pStyle w:val="9"/>
        <w:spacing w:before="226"/>
        <w:rPr>
          <w:sz w:val="20"/>
        </w:rPr>
      </w:pPr>
      <w:r>
        <w:rPr>
          <w:sz w:val="20"/>
          <w:lang w:val="pt-BR" w:eastAsia="pt-BR"/>
        </w:rPr>
        <mc:AlternateContent>
          <mc:Choice Requires="wps">
            <w:drawing>
              <wp:anchor distT="0" distB="0" distL="0" distR="0" simplePos="0" relativeHeight="251673600"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42880;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9"/>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9"/>
        <w:ind w:left="3032" w:right="2305"/>
        <w:jc w:val="both"/>
        <w:rPr>
          <w:lang w:val="pt-BR"/>
        </w:rPr>
        <w:sectPr>
          <w:headerReference r:id="rId5" w:type="default"/>
          <w:footerReference r:id="rId6"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9"/>
      </w:pPr>
    </w:p>
    <w:p w14:paraId="1D3A7B94">
      <w:pPr>
        <w:pStyle w:val="9"/>
        <w:jc w:val="center"/>
        <w:rPr>
          <w:b/>
        </w:rPr>
      </w:pPr>
      <w:r>
        <w:rPr>
          <w:b/>
        </w:rPr>
        <w:t>ANEXO IV</w:t>
      </w:r>
    </w:p>
    <w:p w14:paraId="67A38DC4">
      <w:pPr>
        <w:pStyle w:val="9"/>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9"/>
        <w:rPr>
          <w:b/>
        </w:rPr>
      </w:pPr>
    </w:p>
    <w:p w14:paraId="03532620">
      <w:pPr>
        <w:pStyle w:val="9"/>
        <w:rPr>
          <w:b/>
        </w:rPr>
      </w:pPr>
    </w:p>
    <w:p w14:paraId="27EA4024">
      <w:pPr>
        <w:pStyle w:val="9"/>
        <w:rPr>
          <w:b/>
        </w:rPr>
      </w:pPr>
    </w:p>
    <w:p w14:paraId="60AB667E">
      <w:pPr>
        <w:pStyle w:val="9"/>
        <w:rPr>
          <w:b/>
        </w:rPr>
      </w:pPr>
    </w:p>
    <w:p w14:paraId="2A87D035">
      <w:pPr>
        <w:pStyle w:val="9"/>
        <w:spacing w:before="249"/>
        <w:rPr>
          <w:b/>
        </w:rPr>
      </w:pPr>
    </w:p>
    <w:p w14:paraId="374B5254">
      <w:pPr>
        <w:pStyle w:val="9"/>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9"/>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9"/>
      </w:pPr>
    </w:p>
    <w:p w14:paraId="7CB81B58">
      <w:pPr>
        <w:pStyle w:val="9"/>
      </w:pPr>
    </w:p>
    <w:p w14:paraId="3DFDE732">
      <w:pPr>
        <w:pStyle w:val="9"/>
      </w:pPr>
    </w:p>
    <w:p w14:paraId="509B361D">
      <w:pPr>
        <w:pStyle w:val="9"/>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9"/>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9"/>
        <w:rPr>
          <w:sz w:val="20"/>
        </w:rPr>
      </w:pPr>
    </w:p>
    <w:p w14:paraId="441B6FD2">
      <w:pPr>
        <w:pStyle w:val="9"/>
        <w:rPr>
          <w:sz w:val="20"/>
        </w:rPr>
      </w:pPr>
    </w:p>
    <w:p w14:paraId="6B9D95EA">
      <w:pPr>
        <w:pStyle w:val="9"/>
        <w:rPr>
          <w:sz w:val="20"/>
        </w:rPr>
      </w:pPr>
    </w:p>
    <w:p w14:paraId="178D2EEB">
      <w:pPr>
        <w:pStyle w:val="9"/>
        <w:rPr>
          <w:sz w:val="20"/>
        </w:rPr>
      </w:pPr>
    </w:p>
    <w:p w14:paraId="1E4D990F">
      <w:pPr>
        <w:pStyle w:val="9"/>
        <w:rPr>
          <w:sz w:val="20"/>
        </w:rPr>
      </w:pPr>
    </w:p>
    <w:p w14:paraId="21F583F5">
      <w:pPr>
        <w:pStyle w:val="9"/>
        <w:rPr>
          <w:sz w:val="20"/>
        </w:rPr>
      </w:pPr>
    </w:p>
    <w:p w14:paraId="62D4079F">
      <w:pPr>
        <w:pStyle w:val="9"/>
        <w:rPr>
          <w:sz w:val="20"/>
        </w:rPr>
      </w:pPr>
    </w:p>
    <w:p w14:paraId="7B3552BF">
      <w:pPr>
        <w:pStyle w:val="9"/>
        <w:rPr>
          <w:sz w:val="20"/>
        </w:rPr>
      </w:pPr>
    </w:p>
    <w:p w14:paraId="47B4707B">
      <w:pPr>
        <w:pStyle w:val="9"/>
        <w:rPr>
          <w:sz w:val="20"/>
        </w:rPr>
      </w:pPr>
    </w:p>
    <w:p w14:paraId="704C0BB4">
      <w:pPr>
        <w:pStyle w:val="9"/>
        <w:rPr>
          <w:sz w:val="20"/>
        </w:rPr>
      </w:pPr>
    </w:p>
    <w:p w14:paraId="3069DD3F">
      <w:pPr>
        <w:pStyle w:val="9"/>
        <w:rPr>
          <w:sz w:val="20"/>
        </w:rPr>
      </w:pPr>
    </w:p>
    <w:p w14:paraId="6859803E">
      <w:pPr>
        <w:pStyle w:val="9"/>
        <w:rPr>
          <w:sz w:val="20"/>
        </w:rPr>
      </w:pPr>
    </w:p>
    <w:p w14:paraId="4C99B9DE">
      <w:pPr>
        <w:pStyle w:val="9"/>
        <w:rPr>
          <w:sz w:val="20"/>
        </w:rPr>
      </w:pPr>
    </w:p>
    <w:p w14:paraId="407C5057">
      <w:pPr>
        <w:pStyle w:val="9"/>
        <w:spacing w:before="69"/>
        <w:rPr>
          <w:sz w:val="20"/>
        </w:rPr>
      </w:pPr>
      <w:r>
        <w:rPr>
          <w:sz w:val="20"/>
          <w:lang w:val="pt-BR" w:eastAsia="pt-BR"/>
        </w:rPr>
        <mc:AlternateContent>
          <mc:Choice Requires="wps">
            <w:drawing>
              <wp:anchor distT="0" distB="0" distL="0" distR="0" simplePos="0" relativeHeight="251674624"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41856;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9"/>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9"/>
        <w:spacing w:before="1"/>
        <w:ind w:left="3032" w:right="2305"/>
        <w:jc w:val="both"/>
      </w:pPr>
      <w:r>
        <w:t xml:space="preserve">Nome do responsável/procurador Cargo do responsável/procurador N.° do documento de </w:t>
      </w:r>
      <w:r>
        <w:rPr>
          <w:spacing w:val="-2"/>
        </w:rPr>
        <w:t>identidade</w:t>
      </w:r>
    </w:p>
    <w:p w14:paraId="5B565C99">
      <w:pPr>
        <w:pStyle w:val="9"/>
        <w:jc w:val="both"/>
        <w:sectPr>
          <w:headerReference r:id="rId7" w:type="default"/>
          <w:footerReference r:id="rId8" w:type="default"/>
          <w:pgSz w:w="11920" w:h="16850"/>
          <w:pgMar w:top="2940" w:right="992" w:bottom="1100" w:left="708" w:header="581" w:footer="903" w:gutter="0"/>
          <w:cols w:space="720" w:num="1"/>
        </w:sectPr>
      </w:pPr>
    </w:p>
    <w:p w14:paraId="1B2B4D20">
      <w:pPr>
        <w:pStyle w:val="16"/>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5665E1AC">
      <w:pPr>
        <w:spacing w:line="360" w:lineRule="auto"/>
        <w:ind w:left="-567" w:right="-708" w:firstLine="709"/>
        <w:jc w:val="center"/>
        <w:rPr>
          <w:rFonts w:ascii="Arial" w:hAnsi="Arial" w:cs="Arial"/>
          <w:b/>
          <w:bCs/>
          <w:sz w:val="24"/>
          <w:szCs w:val="24"/>
        </w:rPr>
      </w:pPr>
      <w:r>
        <w:rPr>
          <w:rFonts w:ascii="Arial" w:hAnsi="Arial" w:cs="Arial"/>
          <w:b/>
          <w:bCs/>
          <w:sz w:val="24"/>
          <w:szCs w:val="24"/>
        </w:rPr>
        <w:t>TERMO DE REFERÊNCIA</w:t>
      </w:r>
    </w:p>
    <w:p w14:paraId="395BF82F">
      <w:pPr>
        <w:spacing w:line="360" w:lineRule="auto"/>
        <w:ind w:left="-567" w:right="-708" w:firstLine="709"/>
        <w:jc w:val="center"/>
        <w:rPr>
          <w:rFonts w:ascii="Arial" w:hAnsi="Arial" w:cs="Arial"/>
          <w:b/>
          <w:bCs/>
          <w:sz w:val="24"/>
          <w:szCs w:val="24"/>
        </w:rPr>
      </w:pPr>
    </w:p>
    <w:p w14:paraId="3FC0B595">
      <w:pPr>
        <w:spacing w:line="360" w:lineRule="auto"/>
        <w:ind w:left="-567" w:right="-708" w:firstLine="709"/>
        <w:jc w:val="center"/>
        <w:rPr>
          <w:rFonts w:ascii="Arial" w:hAnsi="Arial" w:cs="Arial"/>
          <w:sz w:val="24"/>
          <w:szCs w:val="24"/>
        </w:rPr>
      </w:pPr>
      <w:r>
        <w:rPr>
          <w:rFonts w:ascii="Arial" w:hAnsi="Arial" w:cs="Arial"/>
          <w:b/>
          <w:bCs/>
          <w:sz w:val="24"/>
          <w:szCs w:val="24"/>
        </w:rPr>
        <w:t>UNIDADE SOLICITANTE</w:t>
      </w:r>
      <w:r>
        <w:rPr>
          <w:rFonts w:ascii="Arial" w:hAnsi="Arial" w:cs="Arial"/>
          <w:sz w:val="24"/>
          <w:szCs w:val="24"/>
        </w:rPr>
        <w:t>:</w:t>
      </w:r>
    </w:p>
    <w:p w14:paraId="33A03155">
      <w:pPr>
        <w:ind w:left="-567" w:right="-708" w:firstLine="709"/>
        <w:jc w:val="center"/>
        <w:rPr>
          <w:rFonts w:ascii="Arial" w:hAnsi="Arial" w:eastAsia="Arial-BoldMT" w:cs="Arial"/>
          <w:bCs/>
          <w:sz w:val="24"/>
          <w:szCs w:val="24"/>
        </w:rPr>
      </w:pPr>
      <w:r>
        <w:rPr>
          <w:rFonts w:ascii="Arial" w:hAnsi="Arial" w:eastAsia="Arial-BoldMT" w:cs="Arial"/>
          <w:bCs/>
          <w:sz w:val="24"/>
          <w:szCs w:val="24"/>
        </w:rPr>
        <w:t>Secretaria Municipal de Saúde</w:t>
      </w:r>
    </w:p>
    <w:p w14:paraId="668ACAA6">
      <w:pPr>
        <w:spacing w:line="360" w:lineRule="auto"/>
        <w:ind w:left="-567" w:right="-708" w:firstLine="709"/>
        <w:jc w:val="center"/>
        <w:rPr>
          <w:rFonts w:ascii="Arial" w:hAnsi="Arial" w:cs="Arial"/>
          <w:sz w:val="24"/>
          <w:szCs w:val="24"/>
        </w:rPr>
      </w:pPr>
    </w:p>
    <w:p w14:paraId="11E52F49">
      <w:pPr>
        <w:spacing w:line="360" w:lineRule="auto"/>
        <w:ind w:left="-567" w:right="-708" w:firstLine="709"/>
        <w:jc w:val="center"/>
        <w:rPr>
          <w:rFonts w:ascii="Arial" w:hAnsi="Arial" w:eastAsia="Arial-BoldMT" w:cs="Arial"/>
          <w:sz w:val="24"/>
          <w:szCs w:val="24"/>
        </w:rPr>
      </w:pPr>
      <w:r>
        <w:rPr>
          <w:rFonts w:ascii="Arial" w:hAnsi="Arial" w:eastAsia="Arial-BoldMT" w:cs="Arial"/>
          <w:b/>
          <w:bCs/>
          <w:sz w:val="24"/>
          <w:szCs w:val="24"/>
        </w:rPr>
        <w:t>Agente responsável:</w:t>
      </w:r>
    </w:p>
    <w:p w14:paraId="676955A6">
      <w:pPr>
        <w:spacing w:line="360" w:lineRule="auto"/>
        <w:ind w:left="-567" w:right="-708" w:firstLine="709"/>
        <w:jc w:val="center"/>
        <w:rPr>
          <w:rFonts w:ascii="Arial" w:hAnsi="Arial" w:eastAsia="Arial-BoldMT" w:cs="Arial"/>
          <w:sz w:val="24"/>
          <w:szCs w:val="24"/>
        </w:rPr>
      </w:pPr>
      <w:r>
        <w:rPr>
          <w:rFonts w:ascii="Arial" w:hAnsi="Arial" w:eastAsia="Arial-BoldMT" w:cs="Arial"/>
          <w:sz w:val="24"/>
          <w:szCs w:val="24"/>
        </w:rPr>
        <w:t>Alysson Silva Gonçalves</w:t>
      </w:r>
    </w:p>
    <w:p w14:paraId="257CB3A6">
      <w:pPr>
        <w:spacing w:line="360" w:lineRule="auto"/>
        <w:ind w:left="-567" w:right="-708" w:firstLine="709"/>
        <w:jc w:val="both"/>
        <w:rPr>
          <w:rFonts w:ascii="Arial" w:hAnsi="Arial" w:cs="Arial"/>
          <w:sz w:val="24"/>
          <w:szCs w:val="24"/>
        </w:rPr>
      </w:pPr>
    </w:p>
    <w:p w14:paraId="0DA31B1D">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145ECC1A">
      <w:pPr>
        <w:spacing w:line="360" w:lineRule="auto"/>
        <w:ind w:left="-567" w:right="-708" w:firstLine="709"/>
        <w:jc w:val="both"/>
        <w:rPr>
          <w:rFonts w:ascii="Arial" w:hAnsi="Arial" w:eastAsia="Arial-BoldMT" w:cs="Arial"/>
          <w:b/>
          <w:bCs/>
          <w:sz w:val="24"/>
          <w:szCs w:val="24"/>
        </w:rPr>
      </w:pPr>
    </w:p>
    <w:p w14:paraId="77A0F202">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objeto central desta contratação é a prestação de consultoria especializada em tratamento e cuidados domiciliares de feridas e lesões, visando capacitar profissionais da rede municipal de saúde de Rifaina. Essa necessidade emerge diretamente do aumento substantivo na demanda por curativos e das dificuldades técnicas identificadas no manejo desses casos, que resultaram em complicações graves e, consequentemente, em quatro contratações emergenciais de oxigenioterapia domiciliar (Processos nº 000291/25, 000201/25, 000146/25 e 000088/25) – tratamento de alto custo que poderia ser mitigado com prevenção adequada. A consultoria objetiva, portanto, qualificar a assistência primária, reduzir agravos evitáveis e otimizar recursos públicos, transformando conhecimento especializado em resolutividade clínica e eficiência econômica.</w:t>
      </w:r>
    </w:p>
    <w:p w14:paraId="1C510A69">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Quanto à execução, o contrato estabelece prazo inicial de 6 (seis) meses para implementação integral das atividades. Reconhecendo o caráter estratégico e contínuo da capacitação, previu-se expressamente a possibilidade de única renovação por até 6 (seis) meses adicionais, condicionada a avaliação técnica conclusiva da Secretaria de Saúde. Essa prorrogação somente será acionada se demonstrada a persistência das necessidades sanitárias, a eficácia comprovada dos serviços e a manutenção das condições orçamentárias originais, assegurando que a extensão atenda estritamente ao interesse público e à economicidade, nos termos do art. 139, II da Lei 14.133/2021.</w:t>
      </w:r>
    </w:p>
    <w:p w14:paraId="52C3A9E2">
      <w:pPr>
        <w:spacing w:line="360" w:lineRule="auto"/>
        <w:ind w:left="-567" w:right="-708" w:firstLine="709"/>
        <w:jc w:val="both"/>
        <w:rPr>
          <w:rFonts w:ascii="Arial" w:hAnsi="Arial" w:eastAsia="Arial-BoldMT" w:cs="Arial"/>
          <w:b/>
          <w:bCs/>
          <w:sz w:val="24"/>
          <w:szCs w:val="24"/>
        </w:rPr>
      </w:pPr>
    </w:p>
    <w:p w14:paraId="7618BC75">
      <w:pPr>
        <w:spacing w:line="360" w:lineRule="auto"/>
        <w:ind w:left="-567" w:right="-708" w:firstLine="709"/>
        <w:jc w:val="both"/>
        <w:rPr>
          <w:rFonts w:ascii="Arial" w:hAnsi="Arial" w:cs="Arial"/>
          <w:sz w:val="24"/>
          <w:szCs w:val="24"/>
        </w:rPr>
      </w:pPr>
    </w:p>
    <w:p w14:paraId="39E42E8B">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24A0D628">
      <w:pPr>
        <w:spacing w:line="360" w:lineRule="auto"/>
        <w:ind w:left="-567" w:right="-708" w:firstLine="709"/>
        <w:jc w:val="both"/>
        <w:rPr>
          <w:rFonts w:ascii="Arial" w:hAnsi="Arial" w:eastAsia="Arial-BoldMT" w:cs="Arial"/>
          <w:b/>
          <w:bCs/>
          <w:sz w:val="24"/>
          <w:szCs w:val="24"/>
        </w:rPr>
      </w:pPr>
    </w:p>
    <w:p w14:paraId="78289ADF">
      <w:pPr>
        <w:spacing w:line="360" w:lineRule="auto"/>
        <w:ind w:left="-567" w:right="-708" w:firstLine="709"/>
        <w:jc w:val="both"/>
        <w:rPr>
          <w:rFonts w:ascii="Arial" w:hAnsi="Arial" w:cs="Arial"/>
          <w:sz w:val="24"/>
          <w:szCs w:val="24"/>
        </w:rPr>
      </w:pPr>
      <w:r>
        <w:rPr>
          <w:rFonts w:ascii="Arial" w:hAnsi="Arial" w:cs="Arial"/>
          <w:sz w:val="24"/>
          <w:szCs w:val="24"/>
        </w:rPr>
        <w:t>A fundamentação desta contratação emerge de estudos técnicos preliminares que identificaram um aumento substantivo na demanda por curativos na rede municipal, aliado a dificuldades técnicas no manejo de casos. Tais deficiências resultaram diretamente em complicações graves, conforme evidenciado pela necessidade de quatro contratações emergenciais de oxigenioterapia domiciliar (Processos nº 000291/25, 000201/25, 000146/25 e 000088/25), tratamento de alto custo. Diante desse cenário, a consultoria especializada se mostra imprescindível para transformar conhecimento técnico em resolutividade clínica, qualificando a assistência primária, reduzindo agravos evitáveis e promovendo a otimização dos recursos públicos, em estrita conformidade com os princípios da economicidade e do interesse público.</w:t>
      </w:r>
    </w:p>
    <w:p w14:paraId="1918BE9F">
      <w:pPr>
        <w:spacing w:line="360" w:lineRule="auto"/>
        <w:ind w:right="-708"/>
        <w:jc w:val="both"/>
        <w:rPr>
          <w:rFonts w:ascii="Arial" w:hAnsi="Arial" w:cs="Arial"/>
          <w:sz w:val="24"/>
          <w:szCs w:val="24"/>
        </w:rPr>
      </w:pPr>
    </w:p>
    <w:p w14:paraId="1A7B59F0">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736308A8">
      <w:pPr>
        <w:spacing w:line="360" w:lineRule="auto"/>
        <w:ind w:left="-567" w:right="-708" w:firstLine="709"/>
        <w:jc w:val="both"/>
        <w:rPr>
          <w:rFonts w:ascii="Arial" w:hAnsi="Arial" w:eastAsia="Arial-BoldMT" w:cs="Arial"/>
          <w:b/>
          <w:bCs/>
          <w:sz w:val="24"/>
          <w:szCs w:val="24"/>
        </w:rPr>
      </w:pPr>
    </w:p>
    <w:p w14:paraId="4D56088E">
      <w:pPr>
        <w:spacing w:line="360" w:lineRule="auto"/>
        <w:ind w:left="-567" w:right="-708" w:firstLine="709"/>
        <w:jc w:val="both"/>
        <w:rPr>
          <w:rFonts w:ascii="Arial" w:hAnsi="Arial" w:cs="Arial"/>
          <w:sz w:val="24"/>
          <w:szCs w:val="24"/>
        </w:rPr>
      </w:pPr>
      <w:r>
        <w:rPr>
          <w:rFonts w:ascii="Arial" w:hAnsi="Arial" w:cs="Arial"/>
          <w:sz w:val="24"/>
          <w:szCs w:val="24"/>
        </w:rPr>
        <w:t xml:space="preserve">A decisão pela contratação da consultoria especializada fundamenta-se em evidências epidemiológicas incontestáveis e estudos técnicos preliminares conduzidos pela Secretaria Municipal de Saúde de Rifaina, que identificaram um nexo causal direto entre as falhas no manejo inicial de feridas/lesões e o agravamento de casos, culminando na necessidade de terapias de alto custo. Os registros médicos municipais demonstram que complicações de feridas mal tratadas (como infecções, necrose tecidual e sepse) foram responsáveis por 4 internações que demandaram oxigenioterapia domiciliar de longo prazo (Processos 000291/25, 000201/25, 000146/25 e 000088/25), </w:t>
      </w:r>
    </w:p>
    <w:p w14:paraId="155B18F5">
      <w:pPr>
        <w:spacing w:line="360" w:lineRule="auto"/>
        <w:ind w:left="-567" w:right="-708" w:firstLine="709"/>
        <w:jc w:val="both"/>
        <w:rPr>
          <w:rFonts w:ascii="Arial" w:hAnsi="Arial" w:cs="Arial"/>
          <w:sz w:val="24"/>
          <w:szCs w:val="24"/>
        </w:rPr>
      </w:pPr>
    </w:p>
    <w:p w14:paraId="02446033">
      <w:pPr>
        <w:numPr>
          <w:ilvl w:val="0"/>
          <w:numId w:val="10"/>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REQUISITOS DA CONTRATAÇÃO;</w:t>
      </w:r>
    </w:p>
    <w:p w14:paraId="4665A4F9">
      <w:pPr>
        <w:spacing w:line="360" w:lineRule="auto"/>
        <w:ind w:right="-708"/>
        <w:jc w:val="both"/>
        <w:rPr>
          <w:rFonts w:ascii="Arial" w:hAnsi="Arial" w:eastAsia="Arial-BoldMT" w:cs="Arial"/>
          <w:b/>
          <w:bCs/>
          <w:sz w:val="24"/>
          <w:szCs w:val="24"/>
        </w:rPr>
      </w:pPr>
    </w:p>
    <w:p w14:paraId="7D89B848">
      <w:pPr>
        <w:numPr>
          <w:ilvl w:val="1"/>
          <w:numId w:val="10"/>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Contratante:</w:t>
      </w:r>
    </w:p>
    <w:p w14:paraId="6566CBA5">
      <w:pPr>
        <w:spacing w:line="360" w:lineRule="auto"/>
        <w:ind w:left="-142"/>
        <w:jc w:val="both"/>
        <w:rPr>
          <w:rFonts w:ascii="Arial" w:hAnsi="Arial" w:cs="Arial"/>
          <w:b/>
          <w:bCs/>
          <w:sz w:val="24"/>
          <w:szCs w:val="24"/>
        </w:rPr>
      </w:pPr>
    </w:p>
    <w:p w14:paraId="6DE5368F">
      <w:pPr>
        <w:numPr>
          <w:ilvl w:val="2"/>
          <w:numId w:val="10"/>
        </w:numPr>
        <w:spacing w:line="360" w:lineRule="auto"/>
        <w:ind w:left="-142" w:firstLine="0"/>
        <w:jc w:val="both"/>
        <w:rPr>
          <w:rFonts w:ascii="Arial" w:hAnsi="Arial" w:cs="Arial"/>
          <w:sz w:val="24"/>
          <w:szCs w:val="24"/>
        </w:rPr>
      </w:pPr>
      <w:r>
        <w:rPr>
          <w:rFonts w:ascii="Arial" w:hAnsi="Arial" w:cs="Arial"/>
          <w:sz w:val="24"/>
          <w:szCs w:val="24"/>
        </w:rPr>
        <w:t>Fornecer o espaço onde serão ministrados o curso e os recursos usados em cada paciente</w:t>
      </w:r>
    </w:p>
    <w:p w14:paraId="74B950C6">
      <w:pPr>
        <w:numPr>
          <w:ilvl w:val="2"/>
          <w:numId w:val="10"/>
        </w:numPr>
        <w:spacing w:line="360" w:lineRule="auto"/>
        <w:ind w:left="-142" w:firstLine="0"/>
        <w:jc w:val="both"/>
        <w:rPr>
          <w:rFonts w:ascii="Arial" w:hAnsi="Arial" w:cs="Arial"/>
          <w:b/>
          <w:bCs/>
          <w:sz w:val="24"/>
          <w:szCs w:val="24"/>
        </w:rPr>
      </w:pPr>
      <w:r>
        <w:rPr>
          <w:rFonts w:ascii="Arial" w:hAnsi="Arial" w:cs="Arial"/>
          <w:sz w:val="24"/>
          <w:szCs w:val="24"/>
        </w:rPr>
        <w:t>Comunicar à Contratada, por escrito, sobre imperfeições, falhas ou irregularidades</w:t>
      </w:r>
      <w:r>
        <w:rPr>
          <w:rFonts w:ascii="Arial" w:hAnsi="Arial" w:cs="Arial"/>
          <w:b/>
          <w:bCs/>
          <w:sz w:val="24"/>
          <w:szCs w:val="24"/>
        </w:rPr>
        <w:t xml:space="preserve"> </w:t>
      </w:r>
      <w:r>
        <w:rPr>
          <w:rFonts w:ascii="Arial" w:hAnsi="Arial" w:cs="Arial"/>
          <w:sz w:val="24"/>
          <w:szCs w:val="24"/>
        </w:rPr>
        <w:t>verificadas no medicamento fornecido, para que seja substituído, reparado ou corrigido</w:t>
      </w:r>
    </w:p>
    <w:p w14:paraId="6896CFF5">
      <w:pPr>
        <w:numPr>
          <w:ilvl w:val="2"/>
          <w:numId w:val="10"/>
        </w:numPr>
        <w:spacing w:line="360" w:lineRule="auto"/>
        <w:ind w:left="-142" w:firstLine="0"/>
        <w:jc w:val="both"/>
        <w:rPr>
          <w:rFonts w:ascii="Arial" w:hAnsi="Arial" w:cs="Arial"/>
          <w:b/>
          <w:bCs/>
          <w:sz w:val="24"/>
          <w:szCs w:val="24"/>
        </w:rPr>
      </w:pPr>
      <w:r>
        <w:rPr>
          <w:rFonts w:ascii="Arial" w:hAnsi="Arial" w:cs="Arial"/>
          <w:sz w:val="24"/>
          <w:szCs w:val="24"/>
        </w:rPr>
        <w:t>Efetuar o pagamento à Contratada no valor correspondente mensalmente, no prazo e forma estabelecidos no Edital e seus anexos;</w:t>
      </w:r>
    </w:p>
    <w:p w14:paraId="08BE1897">
      <w:pPr>
        <w:spacing w:line="360" w:lineRule="auto"/>
        <w:ind w:left="-142"/>
        <w:jc w:val="both"/>
        <w:rPr>
          <w:rFonts w:ascii="Arial" w:hAnsi="Arial" w:cs="Arial"/>
          <w:b/>
          <w:bCs/>
          <w:sz w:val="24"/>
          <w:szCs w:val="24"/>
        </w:rPr>
      </w:pPr>
    </w:p>
    <w:p w14:paraId="32C53246">
      <w:pPr>
        <w:numPr>
          <w:ilvl w:val="1"/>
          <w:numId w:val="10"/>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Contratada:</w:t>
      </w:r>
    </w:p>
    <w:p w14:paraId="08FB1607">
      <w:pPr>
        <w:pStyle w:val="29"/>
        <w:shd w:val="clear" w:color="auto" w:fill="FFFFFF"/>
        <w:spacing w:before="206" w:beforeAutospacing="0" w:after="206" w:afterAutospacing="0" w:line="429" w:lineRule="atLeast"/>
        <w:ind w:left="-426"/>
        <w:rPr>
          <w:rFonts w:ascii="Arial" w:hAnsi="Arial" w:cs="Arial"/>
        </w:rPr>
      </w:pPr>
      <w:r>
        <w:rPr>
          <w:rStyle w:val="5"/>
          <w:rFonts w:ascii="Arial" w:hAnsi="Arial" w:cs="Arial"/>
        </w:rPr>
        <w:t>4.2.1. Qualificação Técnica:</w:t>
      </w:r>
      <w:r>
        <w:rPr>
          <w:rFonts w:ascii="Arial" w:hAnsi="Arial" w:cs="Arial"/>
        </w:rPr>
        <w:br w:type="textWrapping"/>
      </w:r>
      <w:r>
        <w:rPr>
          <w:rFonts w:ascii="Arial" w:hAnsi="Arial" w:cs="Arial"/>
        </w:rPr>
        <w:t>a) Comprovar </w:t>
      </w:r>
      <w:r>
        <w:rPr>
          <w:rStyle w:val="5"/>
          <w:rFonts w:ascii="Arial" w:hAnsi="Arial" w:cs="Arial"/>
        </w:rPr>
        <w:t>mínimo de 5 (cinco) anos de experiência prática</w:t>
      </w:r>
      <w:r>
        <w:rPr>
          <w:rFonts w:ascii="Arial" w:hAnsi="Arial" w:cs="Arial"/>
        </w:rPr>
        <w:t> na gestão de feridas complexas e cuidados domiciliares, mediante certificados, contratos anteriores e portfólio de casos;</w:t>
      </w:r>
      <w:r>
        <w:rPr>
          <w:rFonts w:ascii="Arial" w:hAnsi="Arial" w:cs="Arial"/>
        </w:rPr>
        <w:br w:type="textWrapping"/>
      </w:r>
      <w:r>
        <w:rPr>
          <w:rFonts w:ascii="Arial" w:hAnsi="Arial" w:cs="Arial"/>
        </w:rPr>
        <w:t>b) Apresentar equipe técnica com formação em enfermagem ou medicina e certificação em estomaterapia/feridas;</w:t>
      </w:r>
    </w:p>
    <w:p w14:paraId="551E90F8">
      <w:pPr>
        <w:pStyle w:val="29"/>
        <w:shd w:val="clear" w:color="auto" w:fill="FFFFFF"/>
        <w:spacing w:before="206" w:beforeAutospacing="0" w:after="206" w:afterAutospacing="0" w:line="429" w:lineRule="atLeast"/>
        <w:ind w:left="-426"/>
        <w:rPr>
          <w:rFonts w:ascii="Arial" w:hAnsi="Arial" w:cs="Arial"/>
        </w:rPr>
      </w:pPr>
      <w:r>
        <w:rPr>
          <w:rStyle w:val="5"/>
          <w:rFonts w:ascii="Arial" w:hAnsi="Arial" w:cs="Arial"/>
        </w:rPr>
        <w:t>4.2.2. Execução do Serviço:</w:t>
      </w:r>
      <w:r>
        <w:rPr>
          <w:rFonts w:ascii="Arial" w:hAnsi="Arial" w:cs="Arial"/>
        </w:rPr>
        <w:br w:type="textWrapping"/>
      </w:r>
      <w:r>
        <w:rPr>
          <w:rFonts w:ascii="Arial" w:hAnsi="Arial" w:cs="Arial"/>
        </w:rPr>
        <w:t>a) Realizar </w:t>
      </w:r>
      <w:r>
        <w:rPr>
          <w:rStyle w:val="5"/>
          <w:rFonts w:ascii="Arial" w:hAnsi="Arial" w:cs="Arial"/>
        </w:rPr>
        <w:t>deslocamento a Rifaina 1 (uma) vez por semana</w:t>
      </w:r>
      <w:r>
        <w:rPr>
          <w:rFonts w:ascii="Arial" w:hAnsi="Arial" w:cs="Arial"/>
        </w:rPr>
        <w:t> para capacitação </w:t>
      </w:r>
      <w:r>
        <w:rPr>
          <w:rStyle w:val="6"/>
          <w:rFonts w:ascii="Arial" w:hAnsi="Arial" w:cs="Arial"/>
        </w:rPr>
        <w:t>in loco</w:t>
      </w:r>
      <w:r>
        <w:rPr>
          <w:rFonts w:ascii="Arial" w:hAnsi="Arial" w:cs="Arial"/>
        </w:rPr>
        <w:t> dos profissionais de saúde;</w:t>
      </w:r>
      <w:r>
        <w:rPr>
          <w:rFonts w:ascii="Arial" w:hAnsi="Arial" w:cs="Arial"/>
        </w:rPr>
        <w:br w:type="textWrapping"/>
      </w:r>
      <w:r>
        <w:rPr>
          <w:rFonts w:ascii="Arial" w:hAnsi="Arial" w:cs="Arial"/>
        </w:rPr>
        <w:t>b) Ministrar </w:t>
      </w:r>
      <w:r>
        <w:rPr>
          <w:rStyle w:val="5"/>
          <w:rFonts w:ascii="Arial" w:hAnsi="Arial" w:cs="Arial"/>
        </w:rPr>
        <w:t>cursos teórico-práticos</w:t>
      </w:r>
      <w:r>
        <w:rPr>
          <w:rFonts w:ascii="Arial" w:hAnsi="Arial" w:cs="Arial"/>
        </w:rPr>
        <w:t> com carga horária mínima de 8 horas semanais, adaptados à realidade epidemiológica local;</w:t>
      </w:r>
    </w:p>
    <w:p w14:paraId="5D9FCF4B">
      <w:pPr>
        <w:pStyle w:val="29"/>
        <w:shd w:val="clear" w:color="auto" w:fill="FFFFFF"/>
        <w:spacing w:before="206" w:beforeAutospacing="0" w:after="206" w:afterAutospacing="0" w:line="429" w:lineRule="atLeast"/>
        <w:ind w:left="-426"/>
        <w:rPr>
          <w:rFonts w:ascii="Arial" w:hAnsi="Arial" w:cs="Arial"/>
        </w:rPr>
      </w:pPr>
      <w:r>
        <w:rPr>
          <w:rStyle w:val="5"/>
          <w:rFonts w:ascii="Arial" w:hAnsi="Arial" w:cs="Arial"/>
        </w:rPr>
        <w:t>4.2.3. Avaliação e Monitoramento:</w:t>
      </w:r>
      <w:r>
        <w:rPr>
          <w:rFonts w:ascii="Arial" w:hAnsi="Arial" w:cs="Arial"/>
        </w:rPr>
        <w:br w:type="textWrapping"/>
      </w:r>
      <w:r>
        <w:rPr>
          <w:rFonts w:ascii="Arial" w:hAnsi="Arial" w:cs="Arial"/>
        </w:rPr>
        <w:t>a) Elaborar </w:t>
      </w:r>
      <w:r>
        <w:rPr>
          <w:rStyle w:val="5"/>
          <w:rFonts w:ascii="Arial" w:hAnsi="Arial" w:cs="Arial"/>
        </w:rPr>
        <w:t>diagnóstico individualizado para cada caso complexo</w:t>
      </w:r>
      <w:r>
        <w:rPr>
          <w:rFonts w:ascii="Arial" w:hAnsi="Arial" w:cs="Arial"/>
        </w:rPr>
        <w:t> referenciado pela Secretaria de Saúde;</w:t>
      </w:r>
      <w:r>
        <w:rPr>
          <w:rFonts w:ascii="Arial" w:hAnsi="Arial" w:cs="Arial"/>
        </w:rPr>
        <w:br w:type="textWrapping"/>
      </w:r>
      <w:r>
        <w:rPr>
          <w:rFonts w:ascii="Arial" w:hAnsi="Arial" w:cs="Arial"/>
        </w:rPr>
        <w:t>b) Implementar </w:t>
      </w:r>
      <w:r>
        <w:rPr>
          <w:rStyle w:val="5"/>
          <w:rFonts w:ascii="Arial" w:hAnsi="Arial" w:cs="Arial"/>
        </w:rPr>
        <w:t>plano de acompanhamento técnico</w:t>
      </w:r>
      <w:r>
        <w:rPr>
          <w:rFonts w:ascii="Arial" w:hAnsi="Arial" w:cs="Arial"/>
        </w:rPr>
        <w:t> com registros evolutivos quinzenais;</w:t>
      </w:r>
    </w:p>
    <w:p w14:paraId="5ABC8C64">
      <w:pPr>
        <w:pStyle w:val="29"/>
        <w:shd w:val="clear" w:color="auto" w:fill="FFFFFF"/>
        <w:spacing w:before="206" w:beforeAutospacing="0" w:after="206" w:afterAutospacing="0" w:line="429" w:lineRule="atLeast"/>
        <w:ind w:left="-426"/>
        <w:rPr>
          <w:rFonts w:ascii="Arial" w:hAnsi="Arial" w:cs="Arial"/>
        </w:rPr>
      </w:pPr>
      <w:r>
        <w:rPr>
          <w:rStyle w:val="5"/>
          <w:rFonts w:ascii="Arial" w:hAnsi="Arial" w:cs="Arial"/>
        </w:rPr>
        <w:t>4.2.4. Comunicação e Suporte:</w:t>
      </w:r>
      <w:r>
        <w:rPr>
          <w:rFonts w:ascii="Arial" w:hAnsi="Arial" w:cs="Arial"/>
        </w:rPr>
        <w:br w:type="textWrapping"/>
      </w:r>
      <w:r>
        <w:rPr>
          <w:rFonts w:ascii="Arial" w:hAnsi="Arial" w:cs="Arial"/>
        </w:rPr>
        <w:t>a) Estabelecer </w:t>
      </w:r>
      <w:r>
        <w:rPr>
          <w:rStyle w:val="5"/>
          <w:rFonts w:ascii="Arial" w:hAnsi="Arial" w:cs="Arial"/>
        </w:rPr>
        <w:t>canal de comunicação ativo</w:t>
      </w:r>
      <w:r>
        <w:rPr>
          <w:rFonts w:ascii="Arial" w:hAnsi="Arial" w:cs="Arial"/>
        </w:rPr>
        <w:t> (via plataforma digital e telefone) durante o horário comercial da Secretaria (6h às 18h), com resposta em até 2 horas úteis;</w:t>
      </w:r>
      <w:r>
        <w:rPr>
          <w:rFonts w:ascii="Arial" w:hAnsi="Arial" w:cs="Arial"/>
        </w:rPr>
        <w:br w:type="textWrapping"/>
      </w:r>
      <w:r>
        <w:rPr>
          <w:rFonts w:ascii="Arial" w:hAnsi="Arial" w:cs="Arial"/>
        </w:rPr>
        <w:t>b) Realizar </w:t>
      </w:r>
      <w:r>
        <w:rPr>
          <w:rStyle w:val="5"/>
          <w:rFonts w:ascii="Arial" w:hAnsi="Arial" w:cs="Arial"/>
        </w:rPr>
        <w:t>reuniões de alinhamento virtuais semanais</w:t>
      </w:r>
      <w:r>
        <w:rPr>
          <w:rFonts w:ascii="Arial" w:hAnsi="Arial" w:cs="Arial"/>
        </w:rPr>
        <w:t> com a coordenação do projeto;</w:t>
      </w:r>
    </w:p>
    <w:p w14:paraId="78D5DA8B">
      <w:pPr>
        <w:pStyle w:val="29"/>
        <w:shd w:val="clear" w:color="auto" w:fill="FFFFFF"/>
        <w:spacing w:before="206" w:beforeAutospacing="0" w:after="206" w:afterAutospacing="0" w:line="429" w:lineRule="atLeast"/>
        <w:ind w:left="-426"/>
        <w:rPr>
          <w:rFonts w:ascii="Arial" w:hAnsi="Arial" w:cs="Arial"/>
        </w:rPr>
      </w:pPr>
      <w:r>
        <w:rPr>
          <w:rStyle w:val="5"/>
          <w:rFonts w:ascii="Arial" w:hAnsi="Arial" w:cs="Arial"/>
        </w:rPr>
        <w:t>4.2.5. Entregas Técnicas:</w:t>
      </w:r>
      <w:r>
        <w:rPr>
          <w:rFonts w:ascii="Arial" w:hAnsi="Arial" w:cs="Arial"/>
        </w:rPr>
        <w:br w:type="textWrapping"/>
      </w:r>
      <w:r>
        <w:rPr>
          <w:rFonts w:ascii="Arial" w:hAnsi="Arial" w:cs="Arial"/>
        </w:rPr>
        <w:t>a) Desenvolver </w:t>
      </w:r>
      <w:r>
        <w:rPr>
          <w:rStyle w:val="5"/>
          <w:rFonts w:ascii="Arial" w:hAnsi="Arial" w:cs="Arial"/>
        </w:rPr>
        <w:t>protocolos clínicos</w:t>
      </w:r>
      <w:r>
        <w:rPr>
          <w:rFonts w:ascii="Arial" w:hAnsi="Arial" w:cs="Arial"/>
        </w:rPr>
        <w:t> para tratamento de úlceras, lesões diabéticas e infectadas;</w:t>
      </w:r>
      <w:r>
        <w:rPr>
          <w:rFonts w:ascii="Arial" w:hAnsi="Arial" w:cs="Arial"/>
        </w:rPr>
        <w:br w:type="textWrapping"/>
      </w:r>
      <w:r>
        <w:rPr>
          <w:rFonts w:ascii="Arial" w:hAnsi="Arial" w:cs="Arial"/>
        </w:rPr>
        <w:t>b) Fornecer </w:t>
      </w:r>
      <w:r>
        <w:rPr>
          <w:rStyle w:val="5"/>
          <w:rFonts w:ascii="Arial" w:hAnsi="Arial" w:cs="Arial"/>
        </w:rPr>
        <w:t>relatório mensal de indicadores</w:t>
      </w:r>
      <w:r>
        <w:rPr>
          <w:rFonts w:ascii="Arial" w:hAnsi="Arial" w:cs="Arial"/>
        </w:rPr>
        <w:t> (taxa de complicações, redução de encaminhamentos para oxigenioterapia);</w:t>
      </w:r>
    </w:p>
    <w:p w14:paraId="160CE039">
      <w:pPr>
        <w:pStyle w:val="29"/>
        <w:shd w:val="clear" w:color="auto" w:fill="FFFFFF"/>
        <w:spacing w:before="206" w:beforeAutospacing="0" w:after="206" w:afterAutospacing="0" w:line="429" w:lineRule="atLeast"/>
        <w:ind w:left="-426"/>
        <w:rPr>
          <w:rFonts w:ascii="Arial" w:hAnsi="Arial" w:cs="Arial"/>
        </w:rPr>
      </w:pPr>
      <w:r>
        <w:rPr>
          <w:rStyle w:val="5"/>
          <w:rFonts w:ascii="Arial" w:hAnsi="Arial" w:cs="Arial"/>
        </w:rPr>
        <w:t>4.2.6. Conformidade Legal:</w:t>
      </w:r>
      <w:r>
        <w:rPr>
          <w:rFonts w:ascii="Arial" w:hAnsi="Arial" w:cs="Arial"/>
        </w:rPr>
        <w:br w:type="textWrapping"/>
      </w:r>
      <w:r>
        <w:rPr>
          <w:rFonts w:ascii="Arial" w:hAnsi="Arial" w:cs="Arial"/>
        </w:rPr>
        <w:t>a) Respeitar </w:t>
      </w:r>
      <w:r>
        <w:rPr>
          <w:rStyle w:val="5"/>
          <w:rFonts w:ascii="Arial" w:hAnsi="Arial" w:cs="Arial"/>
        </w:rPr>
        <w:t>diretrizes do SUS e normas da ANVISA</w:t>
      </w:r>
      <w:r>
        <w:rPr>
          <w:rFonts w:ascii="Arial" w:hAnsi="Arial" w:cs="Arial"/>
        </w:rPr>
        <w:t> para manejo de feridas;</w:t>
      </w:r>
      <w:r>
        <w:rPr>
          <w:rFonts w:ascii="Arial" w:hAnsi="Arial" w:cs="Arial"/>
        </w:rPr>
        <w:br w:type="textWrapping"/>
      </w:r>
      <w:r>
        <w:rPr>
          <w:rFonts w:ascii="Arial" w:hAnsi="Arial" w:cs="Arial"/>
        </w:rPr>
        <w:t>b) Garantir que todas as metodologias aplicadas tenham </w:t>
      </w:r>
      <w:r>
        <w:rPr>
          <w:rStyle w:val="5"/>
          <w:rFonts w:ascii="Arial" w:hAnsi="Arial" w:cs="Arial"/>
        </w:rPr>
        <w:t>evidência científica reconhecida</w:t>
      </w:r>
      <w:r>
        <w:rPr>
          <w:rFonts w:ascii="Arial" w:hAnsi="Arial" w:cs="Arial"/>
        </w:rPr>
        <w:t>.</w:t>
      </w:r>
    </w:p>
    <w:p w14:paraId="2632DF5D">
      <w:pPr>
        <w:spacing w:line="360" w:lineRule="auto"/>
        <w:ind w:left="-567" w:right="-708" w:firstLine="709"/>
        <w:jc w:val="both"/>
        <w:rPr>
          <w:rFonts w:ascii="Arial" w:hAnsi="Arial" w:eastAsia="Arial-BoldMT" w:cs="Arial"/>
          <w:b/>
          <w:bCs/>
          <w:sz w:val="24"/>
          <w:szCs w:val="24"/>
        </w:rPr>
      </w:pPr>
    </w:p>
    <w:p w14:paraId="108558DD">
      <w:pPr>
        <w:numPr>
          <w:ilvl w:val="0"/>
          <w:numId w:val="10"/>
        </w:numPr>
        <w:spacing w:line="360" w:lineRule="auto"/>
        <w:ind w:left="-567" w:right="-708" w:firstLine="709"/>
        <w:jc w:val="both"/>
        <w:rPr>
          <w:rFonts w:ascii="Arial" w:hAnsi="Arial" w:cs="Arial"/>
          <w:b/>
          <w:bCs/>
          <w:sz w:val="24"/>
          <w:szCs w:val="24"/>
        </w:rPr>
      </w:pPr>
      <w:r>
        <w:rPr>
          <w:rFonts w:ascii="Arial" w:hAnsi="Arial" w:cs="Arial"/>
          <w:b/>
          <w:bCs/>
          <w:sz w:val="24"/>
          <w:szCs w:val="24"/>
        </w:rPr>
        <w:t>- MODELO DE EXECUÇÃO DO OBJETO, QUE CONSISTE NA DEFINIÇÃO DE COMO O CONTRATO DEVERÁ PRODUZIR OS RESULTADOS PRETENDIDOS DESDE O SEU INÍCIO ATÉ O SEU ENCERRAMENTO;</w:t>
      </w:r>
    </w:p>
    <w:p w14:paraId="1A4B65A2">
      <w:pPr>
        <w:spacing w:line="360" w:lineRule="auto"/>
        <w:ind w:right="-708"/>
        <w:jc w:val="both"/>
        <w:rPr>
          <w:rFonts w:ascii="Arial" w:hAnsi="Arial" w:cs="Arial"/>
          <w:b/>
          <w:bCs/>
          <w:sz w:val="24"/>
          <w:szCs w:val="24"/>
        </w:rPr>
      </w:pPr>
    </w:p>
    <w:p w14:paraId="2F515DFB">
      <w:pPr>
        <w:spacing w:line="360" w:lineRule="auto"/>
        <w:ind w:left="-567" w:right="-708" w:firstLine="709"/>
        <w:jc w:val="both"/>
        <w:rPr>
          <w:rFonts w:ascii="Arial" w:hAnsi="Arial" w:cs="Arial"/>
          <w:sz w:val="24"/>
          <w:szCs w:val="24"/>
        </w:rPr>
      </w:pPr>
      <w:r>
        <w:rPr>
          <w:rFonts w:ascii="Arial" w:hAnsi="Arial" w:cs="Arial"/>
          <w:sz w:val="24"/>
          <w:szCs w:val="24"/>
        </w:rPr>
        <w:t>A execução do contrato assegurará o acompanhamento técnico contínuo e evolutivo dos casos de ferimentos em Rifaina, com monitoramento quinzenal do quadro clínico, adesão aos protocolos e resposta terapêutica, visando sanar integralmente as demandas existentes e prevenir novas complicações. Essa estratégia operacionaliza-se por meio de:</w:t>
      </w:r>
    </w:p>
    <w:p w14:paraId="16E7673C">
      <w:pPr>
        <w:numPr>
          <w:ilvl w:val="0"/>
          <w:numId w:val="11"/>
        </w:numPr>
        <w:spacing w:line="360" w:lineRule="auto"/>
        <w:ind w:right="-708"/>
        <w:jc w:val="both"/>
        <w:rPr>
          <w:rFonts w:ascii="Arial" w:hAnsi="Arial" w:cs="Arial"/>
          <w:sz w:val="24"/>
          <w:szCs w:val="24"/>
        </w:rPr>
      </w:pPr>
      <w:r>
        <w:rPr>
          <w:rFonts w:ascii="Arial" w:hAnsi="Arial" w:cs="Arial"/>
          <w:sz w:val="24"/>
          <w:szCs w:val="24"/>
        </w:rPr>
        <w:t>Avaliações individuais para cada paciente crítico (inclusive dos casos que demandaram oxigenioterapia – Processos 000291/25, 000201/25, 000146/25 e 000088/25);</w:t>
      </w:r>
    </w:p>
    <w:p w14:paraId="44DCC4C9">
      <w:pPr>
        <w:numPr>
          <w:ilvl w:val="0"/>
          <w:numId w:val="11"/>
        </w:numPr>
        <w:spacing w:line="360" w:lineRule="auto"/>
        <w:ind w:right="-708"/>
        <w:jc w:val="both"/>
        <w:rPr>
          <w:rFonts w:ascii="Arial" w:hAnsi="Arial" w:cs="Arial"/>
          <w:sz w:val="24"/>
          <w:szCs w:val="24"/>
        </w:rPr>
      </w:pPr>
      <w:r>
        <w:rPr>
          <w:rFonts w:ascii="Arial" w:hAnsi="Arial" w:cs="Arial"/>
          <w:sz w:val="24"/>
          <w:szCs w:val="24"/>
        </w:rPr>
        <w:t>Ajuste imediato de condutas baseado em indicadores de cicatrização e sinais de infecção;</w:t>
      </w:r>
    </w:p>
    <w:p w14:paraId="5C35EF7A">
      <w:pPr>
        <w:spacing w:line="360" w:lineRule="auto"/>
        <w:ind w:right="-708"/>
        <w:jc w:val="both"/>
        <w:rPr>
          <w:rFonts w:ascii="Arial" w:hAnsi="Arial" w:eastAsia="Arial-BoldMT" w:cs="Arial"/>
          <w:sz w:val="24"/>
          <w:szCs w:val="24"/>
        </w:rPr>
      </w:pPr>
    </w:p>
    <w:p w14:paraId="372A24FC">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6 - Modelo de gestão do contrato, que descreve como a execução do objeto será acompanhada e fiscalizada pelo órgão ou entidade;</w:t>
      </w:r>
    </w:p>
    <w:p w14:paraId="5C91E6A4">
      <w:pPr>
        <w:spacing w:line="360" w:lineRule="auto"/>
        <w:ind w:left="-567" w:right="-708" w:firstLine="709"/>
        <w:jc w:val="both"/>
        <w:rPr>
          <w:rFonts w:ascii="Arial" w:hAnsi="Arial" w:eastAsia="Arial-BoldMT" w:cs="Arial"/>
          <w:b/>
          <w:bCs/>
          <w:sz w:val="24"/>
          <w:szCs w:val="24"/>
        </w:rPr>
      </w:pPr>
    </w:p>
    <w:p w14:paraId="505B9D54">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Pr>
          <w:rFonts w:ascii="Arial" w:hAnsi="Arial" w:cs="Arial"/>
          <w:sz w:val="24"/>
          <w:szCs w:val="24"/>
        </w:rPr>
        <w:t>Breno Henrique Souza Cintra portador do CPF: 405.095.088-35, Técnico contábil.</w:t>
      </w:r>
    </w:p>
    <w:p w14:paraId="66959A73">
      <w:pPr>
        <w:spacing w:line="360" w:lineRule="auto"/>
        <w:ind w:left="-567" w:right="-708" w:firstLine="709"/>
        <w:jc w:val="both"/>
        <w:rPr>
          <w:rFonts w:ascii="Arial" w:hAnsi="Arial" w:eastAsia="Arial-BoldMT" w:cs="Arial"/>
          <w:sz w:val="24"/>
          <w:szCs w:val="24"/>
        </w:rPr>
      </w:pPr>
      <w:r>
        <w:rPr>
          <w:rFonts w:ascii="Arial" w:hAnsi="Arial" w:cs="Arial"/>
          <w:b/>
          <w:bCs/>
          <w:sz w:val="24"/>
          <w:szCs w:val="24"/>
        </w:rPr>
        <w:t xml:space="preserve">Fiscal de contrato: </w:t>
      </w:r>
      <w:r>
        <w:rPr>
          <w:rFonts w:ascii="Arial" w:hAnsi="Arial" w:eastAsia="Arial-BoldMT" w:cs="Arial"/>
          <w:sz w:val="24"/>
          <w:szCs w:val="24"/>
        </w:rPr>
        <w:t>Alysson Silva Gonçalves portador do CPF:453.084.568-01, Secretário da Saúde</w:t>
      </w:r>
    </w:p>
    <w:p w14:paraId="6070CCA4">
      <w:pPr>
        <w:spacing w:line="360" w:lineRule="auto"/>
        <w:ind w:right="-708"/>
        <w:jc w:val="both"/>
        <w:rPr>
          <w:rFonts w:ascii="Arial" w:hAnsi="Arial" w:eastAsia="Arial-BoldMT" w:cs="Arial"/>
          <w:sz w:val="24"/>
          <w:szCs w:val="24"/>
        </w:rPr>
      </w:pPr>
    </w:p>
    <w:p w14:paraId="7911F2ED">
      <w:pPr>
        <w:numPr>
          <w:ilvl w:val="0"/>
          <w:numId w:val="10"/>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Critérios de medição e de pagamento;</w:t>
      </w:r>
    </w:p>
    <w:p w14:paraId="459418B7">
      <w:pPr>
        <w:spacing w:line="360" w:lineRule="auto"/>
        <w:ind w:left="-567" w:right="-708" w:firstLine="709"/>
        <w:jc w:val="both"/>
        <w:rPr>
          <w:rFonts w:ascii="Arial" w:hAnsi="Arial" w:eastAsia="Arial-BoldMT" w:cs="Arial"/>
          <w:b/>
          <w:bCs/>
          <w:sz w:val="24"/>
          <w:szCs w:val="24"/>
        </w:rPr>
      </w:pPr>
    </w:p>
    <w:p w14:paraId="2D0B7CFF">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Os critérios de medição e pagamento estarão condicionados as mensalidade do curso.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medicamentos entregues, observando as condições descritas no termo de referência e a entrega dos aparelhos dentro dos prazos acordados. Somente após a verificação e aceitação da entrega será efetuado o pagamento conforme o valor especificado no contrato.</w:t>
      </w:r>
    </w:p>
    <w:p w14:paraId="0F921884">
      <w:pPr>
        <w:spacing w:line="360" w:lineRule="auto"/>
        <w:ind w:left="-567" w:right="-708" w:firstLine="709"/>
        <w:jc w:val="both"/>
        <w:rPr>
          <w:rFonts w:ascii="Arial" w:hAnsi="Arial" w:eastAsia="Arial-BoldMT" w:cs="Arial"/>
          <w:sz w:val="24"/>
          <w:szCs w:val="24"/>
        </w:rPr>
      </w:pPr>
    </w:p>
    <w:p w14:paraId="104AD56D">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11748503">
      <w:pPr>
        <w:spacing w:line="360" w:lineRule="auto"/>
        <w:ind w:left="-567" w:right="-708" w:firstLine="709"/>
        <w:jc w:val="both"/>
        <w:rPr>
          <w:rFonts w:ascii="Arial" w:hAnsi="Arial" w:eastAsia="Arial-BoldMT" w:cs="Arial"/>
          <w:b/>
          <w:bCs/>
          <w:sz w:val="24"/>
          <w:szCs w:val="24"/>
        </w:rPr>
      </w:pPr>
    </w:p>
    <w:p w14:paraId="62FA9029">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fornecedor deverá estar devidamente habilitado para atender aos requisitos do contrato, comprovando sua capacidade de cumprimento dos objetivos propostos. Além disso, deverá apresentar o Certificado de Regularidade Fiscal (CND) junto à Receita Federal, bem como a Certidão de Regularidade do Empregador, que ateste a conformidade com as obrigações trabalhistas e previdenciárias</w:t>
      </w:r>
    </w:p>
    <w:p w14:paraId="61E3529D">
      <w:pPr>
        <w:spacing w:line="360" w:lineRule="auto"/>
        <w:ind w:left="-567" w:right="-708" w:firstLine="709"/>
        <w:jc w:val="both"/>
        <w:rPr>
          <w:rFonts w:ascii="Arial" w:hAnsi="Arial" w:eastAsia="Arial-BoldMT" w:cs="Arial"/>
          <w:sz w:val="24"/>
          <w:szCs w:val="24"/>
        </w:rPr>
      </w:pPr>
    </w:p>
    <w:p w14:paraId="530D860C">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0591D5E4">
      <w:pPr>
        <w:spacing w:line="360" w:lineRule="auto"/>
        <w:ind w:left="-567" w:right="-708" w:firstLine="709"/>
        <w:jc w:val="both"/>
        <w:rPr>
          <w:rFonts w:ascii="Arial" w:hAnsi="Arial" w:eastAsia="Arial-BoldMT" w:cs="Arial"/>
          <w:b/>
          <w:bCs/>
          <w:sz w:val="24"/>
          <w:szCs w:val="24"/>
        </w:rPr>
      </w:pPr>
    </w:p>
    <w:p w14:paraId="34398D57">
      <w:pPr>
        <w:spacing w:line="360" w:lineRule="auto"/>
        <w:ind w:left="-567" w:right="-708" w:firstLine="709"/>
        <w:jc w:val="both"/>
        <w:rPr>
          <w:rFonts w:ascii="Arial" w:hAnsi="Arial" w:eastAsia="Arial-BoldMT" w:cs="Arial"/>
          <w:b/>
          <w:bCs/>
          <w:sz w:val="24"/>
          <w:szCs w:val="24"/>
        </w:rPr>
      </w:pPr>
    </w:p>
    <w:tbl>
      <w:tblPr>
        <w:tblStyle w:val="4"/>
        <w:tblW w:w="9260" w:type="dxa"/>
        <w:tblInd w:w="80" w:type="dxa"/>
        <w:tblLayout w:type="autofit"/>
        <w:tblCellMar>
          <w:top w:w="0" w:type="dxa"/>
          <w:left w:w="70" w:type="dxa"/>
          <w:bottom w:w="0" w:type="dxa"/>
          <w:right w:w="70" w:type="dxa"/>
        </w:tblCellMar>
      </w:tblPr>
      <w:tblGrid>
        <w:gridCol w:w="960"/>
        <w:gridCol w:w="960"/>
        <w:gridCol w:w="960"/>
        <w:gridCol w:w="3280"/>
        <w:gridCol w:w="1720"/>
        <w:gridCol w:w="1462"/>
      </w:tblGrid>
      <w:tr w14:paraId="22E26DF0">
        <w:tblPrEx>
          <w:tblCellMar>
            <w:top w:w="0" w:type="dxa"/>
            <w:left w:w="70" w:type="dxa"/>
            <w:bottom w:w="0" w:type="dxa"/>
            <w:right w:w="70" w:type="dxa"/>
          </w:tblCellMar>
        </w:tblPrEx>
        <w:trPr>
          <w:trHeight w:val="315" w:hRule="atLeast"/>
        </w:trPr>
        <w:tc>
          <w:tcPr>
            <w:tcW w:w="960" w:type="dxa"/>
            <w:tcBorders>
              <w:top w:val="single" w:color="auto" w:sz="8" w:space="0"/>
              <w:left w:val="single" w:color="auto" w:sz="8" w:space="0"/>
              <w:bottom w:val="single" w:color="auto" w:sz="8" w:space="0"/>
              <w:right w:val="single" w:color="auto" w:sz="8" w:space="0"/>
            </w:tcBorders>
            <w:noWrap/>
            <w:vAlign w:val="center"/>
          </w:tcPr>
          <w:p w14:paraId="1C5C77A3">
            <w:pPr>
              <w:suppressAutoHyphens w:val="0"/>
              <w:rPr>
                <w:rFonts w:ascii="Arial" w:hAnsi="Arial" w:cs="Arial"/>
                <w:b/>
                <w:bCs/>
                <w:color w:val="000000"/>
                <w:lang w:eastAsia="pt-BR"/>
              </w:rPr>
            </w:pPr>
            <w:r>
              <w:rPr>
                <w:rFonts w:ascii="Arial" w:hAnsi="Arial" w:cs="Arial"/>
                <w:b/>
                <w:bCs/>
                <w:color w:val="000000"/>
                <w:lang w:eastAsia="pt-BR"/>
              </w:rPr>
              <w:t>ITEM</w:t>
            </w:r>
          </w:p>
        </w:tc>
        <w:tc>
          <w:tcPr>
            <w:tcW w:w="960" w:type="dxa"/>
            <w:tcBorders>
              <w:top w:val="single" w:color="auto" w:sz="8" w:space="0"/>
              <w:left w:val="nil"/>
              <w:bottom w:val="single" w:color="auto" w:sz="8" w:space="0"/>
              <w:right w:val="single" w:color="auto" w:sz="8" w:space="0"/>
            </w:tcBorders>
            <w:noWrap/>
            <w:vAlign w:val="center"/>
          </w:tcPr>
          <w:p w14:paraId="526C7ACE">
            <w:pPr>
              <w:suppressAutoHyphens w:val="0"/>
              <w:rPr>
                <w:rFonts w:ascii="Arial" w:hAnsi="Arial" w:cs="Arial"/>
                <w:b/>
                <w:bCs/>
                <w:color w:val="000000"/>
                <w:lang w:eastAsia="pt-BR"/>
              </w:rPr>
            </w:pPr>
            <w:r>
              <w:rPr>
                <w:rFonts w:ascii="Arial" w:hAnsi="Arial" w:cs="Arial"/>
                <w:b/>
                <w:bCs/>
                <w:color w:val="000000"/>
                <w:lang w:eastAsia="pt-BR"/>
              </w:rPr>
              <w:t>UNID</w:t>
            </w:r>
          </w:p>
        </w:tc>
        <w:tc>
          <w:tcPr>
            <w:tcW w:w="960" w:type="dxa"/>
            <w:tcBorders>
              <w:top w:val="single" w:color="auto" w:sz="8" w:space="0"/>
              <w:left w:val="nil"/>
              <w:bottom w:val="single" w:color="auto" w:sz="8" w:space="0"/>
              <w:right w:val="single" w:color="auto" w:sz="8" w:space="0"/>
            </w:tcBorders>
            <w:noWrap/>
            <w:vAlign w:val="center"/>
          </w:tcPr>
          <w:p w14:paraId="17C30206">
            <w:pPr>
              <w:suppressAutoHyphens w:val="0"/>
              <w:rPr>
                <w:rFonts w:ascii="Arial" w:hAnsi="Arial" w:cs="Arial"/>
                <w:b/>
                <w:bCs/>
                <w:color w:val="000000"/>
                <w:lang w:eastAsia="pt-BR"/>
              </w:rPr>
            </w:pPr>
            <w:r>
              <w:rPr>
                <w:rFonts w:ascii="Arial" w:hAnsi="Arial" w:cs="Arial"/>
                <w:b/>
                <w:bCs/>
                <w:color w:val="000000"/>
                <w:lang w:eastAsia="pt-BR"/>
              </w:rPr>
              <w:t>QUANT</w:t>
            </w:r>
          </w:p>
        </w:tc>
        <w:tc>
          <w:tcPr>
            <w:tcW w:w="3280" w:type="dxa"/>
            <w:tcBorders>
              <w:top w:val="single" w:color="auto" w:sz="8" w:space="0"/>
              <w:left w:val="nil"/>
              <w:bottom w:val="single" w:color="auto" w:sz="8" w:space="0"/>
              <w:right w:val="single" w:color="auto" w:sz="8" w:space="0"/>
            </w:tcBorders>
            <w:noWrap/>
            <w:vAlign w:val="center"/>
          </w:tcPr>
          <w:p w14:paraId="6B4147C3">
            <w:pPr>
              <w:suppressAutoHyphens w:val="0"/>
              <w:rPr>
                <w:rFonts w:ascii="Arial" w:hAnsi="Arial" w:cs="Arial"/>
                <w:b/>
                <w:bCs/>
                <w:color w:val="000000"/>
                <w:lang w:eastAsia="pt-BR"/>
              </w:rPr>
            </w:pPr>
            <w:r>
              <w:rPr>
                <w:rFonts w:ascii="Arial" w:hAnsi="Arial" w:cs="Arial"/>
                <w:b/>
                <w:bCs/>
                <w:color w:val="000000"/>
                <w:lang w:eastAsia="pt-BR"/>
              </w:rPr>
              <w:t>NOME DO PRODUTO</w:t>
            </w:r>
          </w:p>
        </w:tc>
        <w:tc>
          <w:tcPr>
            <w:tcW w:w="1720" w:type="dxa"/>
            <w:tcBorders>
              <w:top w:val="single" w:color="auto" w:sz="8" w:space="0"/>
              <w:left w:val="nil"/>
              <w:bottom w:val="single" w:color="auto" w:sz="8" w:space="0"/>
              <w:right w:val="single" w:color="auto" w:sz="8" w:space="0"/>
            </w:tcBorders>
            <w:noWrap/>
            <w:vAlign w:val="center"/>
          </w:tcPr>
          <w:p w14:paraId="78A7E5C9">
            <w:pPr>
              <w:suppressAutoHyphens w:val="0"/>
              <w:rPr>
                <w:rFonts w:ascii="Arial" w:hAnsi="Arial" w:cs="Arial"/>
                <w:b/>
                <w:bCs/>
                <w:color w:val="000000"/>
                <w:lang w:eastAsia="pt-BR"/>
              </w:rPr>
            </w:pPr>
            <w:r>
              <w:rPr>
                <w:rFonts w:ascii="Arial" w:hAnsi="Arial" w:cs="Arial"/>
                <w:b/>
                <w:bCs/>
                <w:color w:val="000000"/>
                <w:lang w:eastAsia="pt-BR"/>
              </w:rPr>
              <w:t>VALOR ESTIMADO</w:t>
            </w:r>
          </w:p>
        </w:tc>
        <w:tc>
          <w:tcPr>
            <w:tcW w:w="1380" w:type="dxa"/>
            <w:tcBorders>
              <w:top w:val="single" w:color="auto" w:sz="8" w:space="0"/>
              <w:left w:val="nil"/>
              <w:bottom w:val="single" w:color="auto" w:sz="8" w:space="0"/>
              <w:right w:val="single" w:color="auto" w:sz="8" w:space="0"/>
            </w:tcBorders>
            <w:noWrap/>
            <w:vAlign w:val="center"/>
          </w:tcPr>
          <w:p w14:paraId="3D6E9047">
            <w:pPr>
              <w:suppressAutoHyphens w:val="0"/>
              <w:rPr>
                <w:rFonts w:ascii="Arial" w:hAnsi="Arial" w:cs="Arial"/>
                <w:b/>
                <w:bCs/>
                <w:color w:val="000000"/>
                <w:lang w:eastAsia="pt-BR"/>
              </w:rPr>
            </w:pPr>
            <w:r>
              <w:rPr>
                <w:rFonts w:ascii="Arial" w:hAnsi="Arial" w:cs="Arial"/>
                <w:b/>
                <w:bCs/>
                <w:color w:val="000000"/>
                <w:lang w:eastAsia="pt-BR"/>
              </w:rPr>
              <w:t>VALOR TOTAL</w:t>
            </w:r>
          </w:p>
        </w:tc>
      </w:tr>
      <w:tr w14:paraId="284D4A6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noWrap/>
            <w:vAlign w:val="center"/>
          </w:tcPr>
          <w:p w14:paraId="39A07E4F">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nil"/>
              <w:left w:val="nil"/>
              <w:bottom w:val="single" w:color="auto" w:sz="8" w:space="0"/>
              <w:right w:val="single" w:color="auto" w:sz="8" w:space="0"/>
            </w:tcBorders>
            <w:noWrap/>
            <w:vAlign w:val="center"/>
          </w:tcPr>
          <w:p w14:paraId="169628E2">
            <w:pPr>
              <w:suppressAutoHyphens w:val="0"/>
              <w:rPr>
                <w:rFonts w:ascii="Arial" w:hAnsi="Arial" w:cs="Arial"/>
                <w:color w:val="000000"/>
                <w:lang w:eastAsia="pt-BR"/>
              </w:rPr>
            </w:pPr>
            <w:r>
              <w:rPr>
                <w:rFonts w:ascii="Arial" w:hAnsi="Arial" w:cs="Arial"/>
                <w:color w:val="000000"/>
                <w:lang w:eastAsia="pt-BR"/>
              </w:rPr>
              <w:t>MÊS</w:t>
            </w:r>
          </w:p>
        </w:tc>
        <w:tc>
          <w:tcPr>
            <w:tcW w:w="960" w:type="dxa"/>
            <w:tcBorders>
              <w:top w:val="nil"/>
              <w:left w:val="nil"/>
              <w:bottom w:val="single" w:color="auto" w:sz="8" w:space="0"/>
              <w:right w:val="single" w:color="auto" w:sz="8" w:space="0"/>
            </w:tcBorders>
            <w:noWrap/>
            <w:vAlign w:val="center"/>
          </w:tcPr>
          <w:p w14:paraId="4171CC30">
            <w:pPr>
              <w:suppressAutoHyphens w:val="0"/>
              <w:jc w:val="right"/>
              <w:rPr>
                <w:rFonts w:ascii="Arial" w:hAnsi="Arial" w:cs="Arial"/>
                <w:color w:val="000000"/>
                <w:lang w:eastAsia="pt-BR"/>
              </w:rPr>
            </w:pPr>
            <w:r>
              <w:rPr>
                <w:rFonts w:ascii="Arial" w:hAnsi="Arial" w:cs="Arial"/>
                <w:color w:val="000000"/>
                <w:lang w:eastAsia="pt-BR"/>
              </w:rPr>
              <w:t>6</w:t>
            </w:r>
          </w:p>
        </w:tc>
        <w:tc>
          <w:tcPr>
            <w:tcW w:w="3280" w:type="dxa"/>
            <w:tcBorders>
              <w:top w:val="nil"/>
              <w:left w:val="nil"/>
              <w:bottom w:val="single" w:color="auto" w:sz="8" w:space="0"/>
              <w:right w:val="single" w:color="auto" w:sz="8" w:space="0"/>
            </w:tcBorders>
            <w:noWrap/>
            <w:vAlign w:val="center"/>
          </w:tcPr>
          <w:p w14:paraId="06CD7F04">
            <w:pPr>
              <w:suppressAutoHyphens w:val="0"/>
              <w:rPr>
                <w:rFonts w:ascii="Arial" w:hAnsi="Arial" w:cs="Arial"/>
                <w:color w:val="000000"/>
                <w:lang w:eastAsia="pt-BR"/>
              </w:rPr>
            </w:pPr>
            <w:r>
              <w:rPr>
                <w:rFonts w:ascii="Arial" w:hAnsi="Arial" w:cs="Arial"/>
                <w:color w:val="000000"/>
                <w:lang w:eastAsia="pt-BR"/>
              </w:rPr>
              <w:t xml:space="preserve">CONSULTORIA SOBRE TRATAMENTO E CUIDADOS DOMICILIARES EM FERIDAS E LESÕES PARA ESPECIALIZAÇÃO DE PROFISSIONAIS DA SÁUDE </w:t>
            </w:r>
          </w:p>
        </w:tc>
        <w:tc>
          <w:tcPr>
            <w:tcW w:w="1720" w:type="dxa"/>
            <w:tcBorders>
              <w:top w:val="nil"/>
              <w:left w:val="nil"/>
              <w:bottom w:val="single" w:color="auto" w:sz="8" w:space="0"/>
              <w:right w:val="single" w:color="auto" w:sz="8" w:space="0"/>
            </w:tcBorders>
            <w:noWrap/>
            <w:vAlign w:val="center"/>
          </w:tcPr>
          <w:p w14:paraId="09783872">
            <w:pPr>
              <w:suppressAutoHyphens w:val="0"/>
              <w:jc w:val="right"/>
              <w:rPr>
                <w:rFonts w:ascii="Arial" w:hAnsi="Arial" w:cs="Arial"/>
                <w:color w:val="000000"/>
                <w:lang w:eastAsia="pt-BR"/>
              </w:rPr>
            </w:pPr>
            <w:r>
              <w:rPr>
                <w:rFonts w:ascii="Arial" w:hAnsi="Arial" w:cs="Arial"/>
                <w:color w:val="000000"/>
                <w:lang w:eastAsia="pt-BR"/>
              </w:rPr>
              <w:t>R$ 3.522,22</w:t>
            </w:r>
          </w:p>
        </w:tc>
        <w:tc>
          <w:tcPr>
            <w:tcW w:w="1380" w:type="dxa"/>
            <w:tcBorders>
              <w:top w:val="nil"/>
              <w:left w:val="nil"/>
              <w:bottom w:val="single" w:color="auto" w:sz="8" w:space="0"/>
              <w:right w:val="single" w:color="auto" w:sz="8" w:space="0"/>
            </w:tcBorders>
            <w:noWrap/>
            <w:vAlign w:val="center"/>
          </w:tcPr>
          <w:p w14:paraId="2E001D0F">
            <w:pPr>
              <w:suppressAutoHyphens w:val="0"/>
              <w:jc w:val="right"/>
              <w:rPr>
                <w:rFonts w:ascii="Arial" w:hAnsi="Arial" w:cs="Arial"/>
                <w:color w:val="000000"/>
                <w:lang w:eastAsia="pt-BR"/>
              </w:rPr>
            </w:pPr>
            <w:r>
              <w:rPr>
                <w:rFonts w:ascii="Arial" w:hAnsi="Arial" w:cs="Arial"/>
                <w:color w:val="000000"/>
                <w:lang w:eastAsia="pt-BR"/>
              </w:rPr>
              <w:t>R$ 21.133,32</w:t>
            </w:r>
          </w:p>
        </w:tc>
      </w:tr>
    </w:tbl>
    <w:p w14:paraId="0FE1A4FC">
      <w:pPr>
        <w:spacing w:line="360" w:lineRule="auto"/>
        <w:ind w:right="-708" w:firstLine="709"/>
        <w:jc w:val="both"/>
        <w:rPr>
          <w:rFonts w:ascii="Arial" w:hAnsi="Arial" w:cs="Arial"/>
          <w:b/>
          <w:bCs/>
          <w:sz w:val="24"/>
          <w:szCs w:val="24"/>
        </w:rPr>
      </w:pPr>
    </w:p>
    <w:p w14:paraId="19E9F305">
      <w:pPr>
        <w:spacing w:line="360" w:lineRule="auto"/>
        <w:ind w:left="-567" w:right="-708" w:firstLine="709"/>
        <w:jc w:val="both"/>
        <w:rPr>
          <w:rFonts w:ascii="Arial" w:hAnsi="Arial" w:cs="Arial"/>
          <w:b/>
          <w:bCs/>
          <w:sz w:val="24"/>
          <w:szCs w:val="24"/>
        </w:rPr>
      </w:pPr>
      <w:r>
        <w:rPr>
          <w:rFonts w:ascii="Arial" w:hAnsi="Arial" w:cs="Arial"/>
          <w:b/>
          <w:bCs/>
          <w:sz w:val="24"/>
          <w:szCs w:val="24"/>
        </w:rPr>
        <w:t>10 - Adequação orçamentária;</w:t>
      </w:r>
    </w:p>
    <w:p w14:paraId="1A9FA381">
      <w:pPr>
        <w:suppressAutoHyphens w:val="0"/>
        <w:spacing w:line="360" w:lineRule="auto"/>
        <w:ind w:left="-993" w:right="-853" w:firstLine="1135"/>
        <w:jc w:val="both"/>
        <w:rPr>
          <w:rFonts w:ascii="Arial" w:hAnsi="Arial" w:cs="Arial"/>
          <w:b/>
          <w:bCs/>
          <w:sz w:val="24"/>
          <w:szCs w:val="24"/>
        </w:rPr>
      </w:pPr>
    </w:p>
    <w:p w14:paraId="2F8BBF57">
      <w:pPr>
        <w:suppressAutoHyphens w:val="0"/>
        <w:spacing w:line="360" w:lineRule="auto"/>
        <w:ind w:left="-993" w:right="-853" w:firstLine="1135"/>
        <w:jc w:val="both"/>
        <w:rPr>
          <w:rFonts w:ascii="Arial" w:hAnsi="Arial" w:cs="Arial"/>
          <w:sz w:val="22"/>
          <w:szCs w:val="22"/>
        </w:rPr>
      </w:pPr>
      <w:bookmarkStart w:id="3" w:name="_Hlk188952987"/>
      <w:bookmarkStart w:id="4" w:name="_Hlk189119850"/>
      <w:r>
        <w:rPr>
          <w:rFonts w:ascii="Arial" w:hAnsi="Arial" w:cs="Arial"/>
          <w:sz w:val="22"/>
          <w:szCs w:val="22"/>
        </w:rPr>
        <w:t xml:space="preserve">RECURSO MUNICIPAL / ESTADUAL / FEDERAL </w:t>
      </w:r>
      <w:bookmarkEnd w:id="3"/>
    </w:p>
    <w:p w14:paraId="7CCA8A63">
      <w:pPr>
        <w:suppressAutoHyphens w:val="0"/>
        <w:spacing w:line="360" w:lineRule="auto"/>
        <w:ind w:left="-993" w:right="-853" w:firstLine="1135"/>
        <w:jc w:val="both"/>
        <w:rPr>
          <w:rFonts w:ascii="Arial" w:hAnsi="Arial" w:cs="Arial"/>
          <w:sz w:val="22"/>
          <w:szCs w:val="22"/>
        </w:rPr>
      </w:pPr>
    </w:p>
    <w:p w14:paraId="1EBADB6C">
      <w:pPr>
        <w:numPr>
          <w:ilvl w:val="0"/>
          <w:numId w:val="12"/>
        </w:numPr>
        <w:suppressAutoHyphens w:val="0"/>
        <w:spacing w:line="360" w:lineRule="auto"/>
        <w:ind w:left="-426" w:right="-853" w:firstLine="426"/>
        <w:jc w:val="both"/>
        <w:rPr>
          <w:rFonts w:ascii="Arial" w:hAnsi="Arial" w:cs="Arial"/>
          <w:sz w:val="22"/>
          <w:szCs w:val="22"/>
        </w:rPr>
      </w:pPr>
      <w:r>
        <w:rPr>
          <w:rFonts w:ascii="Arial" w:hAnsi="Arial" w:cs="Arial"/>
          <w:sz w:val="22"/>
          <w:szCs w:val="22"/>
        </w:rPr>
        <w:t>02 16 - SECRETARIA MUNICIPAL DE SAUDE</w:t>
      </w:r>
    </w:p>
    <w:p w14:paraId="3CC08E02">
      <w:pPr>
        <w:numPr>
          <w:ilvl w:val="0"/>
          <w:numId w:val="12"/>
        </w:numPr>
        <w:suppressAutoHyphens w:val="0"/>
        <w:spacing w:line="360" w:lineRule="auto"/>
        <w:ind w:left="-426" w:right="-853" w:firstLine="426"/>
        <w:jc w:val="both"/>
        <w:rPr>
          <w:rFonts w:ascii="Arial" w:hAnsi="Arial" w:cs="Arial"/>
          <w:sz w:val="22"/>
          <w:szCs w:val="22"/>
        </w:rPr>
      </w:pPr>
      <w:r>
        <w:rPr>
          <w:rFonts w:ascii="Arial" w:hAnsi="Arial" w:cs="Arial"/>
          <w:sz w:val="22"/>
          <w:szCs w:val="22"/>
        </w:rPr>
        <w:t>021601 – FUNDO MUNICIPAL DE SAUDE</w:t>
      </w:r>
    </w:p>
    <w:p w14:paraId="66BDEC28">
      <w:pPr>
        <w:numPr>
          <w:ilvl w:val="0"/>
          <w:numId w:val="12"/>
        </w:numPr>
        <w:suppressAutoHyphens w:val="0"/>
        <w:spacing w:line="360" w:lineRule="auto"/>
        <w:ind w:left="-426" w:right="-853" w:firstLine="426"/>
        <w:jc w:val="both"/>
        <w:rPr>
          <w:rFonts w:ascii="Arial" w:hAnsi="Arial" w:cs="Arial"/>
          <w:sz w:val="22"/>
          <w:szCs w:val="22"/>
        </w:rPr>
      </w:pPr>
    </w:p>
    <w:p w14:paraId="01E77232">
      <w:pPr>
        <w:numPr>
          <w:ilvl w:val="0"/>
          <w:numId w:val="12"/>
        </w:numPr>
        <w:suppressAutoHyphens w:val="0"/>
        <w:spacing w:line="360" w:lineRule="auto"/>
        <w:ind w:left="-426" w:right="-853" w:firstLine="426"/>
        <w:jc w:val="both"/>
        <w:rPr>
          <w:rFonts w:ascii="Arial" w:hAnsi="Arial" w:cs="Arial"/>
          <w:b/>
          <w:bCs/>
          <w:sz w:val="22"/>
          <w:szCs w:val="22"/>
        </w:rPr>
      </w:pPr>
      <w:r>
        <w:rPr>
          <w:rFonts w:ascii="Arial" w:hAnsi="Arial" w:cs="Arial"/>
          <w:b/>
          <w:bCs/>
          <w:sz w:val="22"/>
          <w:szCs w:val="22"/>
        </w:rPr>
        <w:t>FICHA 264</w:t>
      </w:r>
    </w:p>
    <w:p w14:paraId="3014C494">
      <w:pPr>
        <w:numPr>
          <w:ilvl w:val="0"/>
          <w:numId w:val="12"/>
        </w:numPr>
        <w:suppressAutoHyphens w:val="0"/>
        <w:spacing w:line="360" w:lineRule="auto"/>
        <w:ind w:left="-426" w:right="-853" w:firstLine="426"/>
        <w:jc w:val="both"/>
        <w:rPr>
          <w:rFonts w:ascii="Arial" w:hAnsi="Arial" w:cs="Arial"/>
          <w:sz w:val="22"/>
          <w:szCs w:val="22"/>
        </w:rPr>
      </w:pPr>
      <w:r>
        <w:rPr>
          <w:rFonts w:ascii="Arial" w:hAnsi="Arial" w:cs="Arial"/>
          <w:sz w:val="22"/>
          <w:szCs w:val="22"/>
        </w:rPr>
        <w:t xml:space="preserve">10.301.0034.2015.00003.3.90.39.00 </w:t>
      </w:r>
    </w:p>
    <w:p w14:paraId="29354D29">
      <w:pPr>
        <w:numPr>
          <w:ilvl w:val="0"/>
          <w:numId w:val="12"/>
        </w:numPr>
        <w:suppressAutoHyphens w:val="0"/>
        <w:spacing w:line="360" w:lineRule="auto"/>
        <w:ind w:left="-426" w:right="-853" w:firstLine="426"/>
        <w:jc w:val="both"/>
        <w:rPr>
          <w:rFonts w:ascii="Arial" w:hAnsi="Arial" w:cs="Arial"/>
          <w:sz w:val="22"/>
          <w:szCs w:val="22"/>
        </w:rPr>
      </w:pPr>
      <w:r>
        <w:rPr>
          <w:rFonts w:ascii="Arial" w:hAnsi="Arial" w:cs="Arial"/>
          <w:sz w:val="22"/>
          <w:szCs w:val="22"/>
        </w:rPr>
        <w:t>OUTROS SERVIÇOS DE TERCEIROS - PESSOA JURÍDICA</w:t>
      </w:r>
    </w:p>
    <w:p w14:paraId="484E864E">
      <w:pPr>
        <w:numPr>
          <w:ilvl w:val="0"/>
          <w:numId w:val="12"/>
        </w:numPr>
        <w:suppressAutoHyphens w:val="0"/>
        <w:spacing w:line="360" w:lineRule="auto"/>
        <w:ind w:left="-426" w:right="-853" w:firstLine="426"/>
        <w:jc w:val="both"/>
        <w:rPr>
          <w:rFonts w:ascii="Arial" w:hAnsi="Arial" w:cs="Arial"/>
          <w:sz w:val="22"/>
          <w:szCs w:val="22"/>
        </w:rPr>
      </w:pPr>
    </w:p>
    <w:p w14:paraId="02158C36">
      <w:pPr>
        <w:numPr>
          <w:ilvl w:val="0"/>
          <w:numId w:val="12"/>
        </w:numPr>
        <w:suppressAutoHyphens w:val="0"/>
        <w:spacing w:line="360" w:lineRule="auto"/>
        <w:ind w:left="-426" w:right="-853" w:firstLine="426"/>
        <w:jc w:val="both"/>
        <w:rPr>
          <w:rFonts w:ascii="Arial" w:hAnsi="Arial" w:cs="Arial"/>
          <w:b/>
          <w:bCs/>
          <w:sz w:val="22"/>
          <w:szCs w:val="22"/>
        </w:rPr>
      </w:pPr>
      <w:r>
        <w:rPr>
          <w:rFonts w:ascii="Arial" w:hAnsi="Arial" w:cs="Arial"/>
          <w:b/>
          <w:bCs/>
          <w:sz w:val="22"/>
          <w:szCs w:val="22"/>
        </w:rPr>
        <w:t>FICHA 271</w:t>
      </w:r>
    </w:p>
    <w:p w14:paraId="2BBBE36B">
      <w:pPr>
        <w:numPr>
          <w:ilvl w:val="0"/>
          <w:numId w:val="12"/>
        </w:numPr>
        <w:suppressAutoHyphens w:val="0"/>
        <w:spacing w:line="360" w:lineRule="auto"/>
        <w:ind w:left="-426" w:right="-853" w:firstLine="426"/>
        <w:jc w:val="both"/>
        <w:rPr>
          <w:rFonts w:ascii="Arial" w:hAnsi="Arial" w:cs="Arial"/>
          <w:sz w:val="22"/>
          <w:szCs w:val="22"/>
        </w:rPr>
      </w:pPr>
      <w:r>
        <w:rPr>
          <w:rFonts w:ascii="Arial" w:hAnsi="Arial" w:cs="Arial"/>
          <w:sz w:val="22"/>
          <w:szCs w:val="22"/>
        </w:rPr>
        <w:t xml:space="preserve">10.301.0034.2015.00163.3.90.39.00 </w:t>
      </w:r>
    </w:p>
    <w:p w14:paraId="3917952B">
      <w:pPr>
        <w:numPr>
          <w:ilvl w:val="0"/>
          <w:numId w:val="12"/>
        </w:numPr>
        <w:suppressAutoHyphens w:val="0"/>
        <w:spacing w:line="360" w:lineRule="auto"/>
        <w:ind w:left="-426" w:right="-853" w:firstLine="426"/>
        <w:jc w:val="both"/>
        <w:rPr>
          <w:rFonts w:ascii="Arial" w:hAnsi="Arial" w:cs="Arial"/>
          <w:sz w:val="22"/>
          <w:szCs w:val="22"/>
        </w:rPr>
      </w:pPr>
      <w:r>
        <w:rPr>
          <w:rFonts w:ascii="Arial" w:hAnsi="Arial" w:cs="Arial"/>
          <w:sz w:val="22"/>
          <w:szCs w:val="22"/>
        </w:rPr>
        <w:t>OUTROS SERVIÇOS DE TERCEIROS - PESSOA JURÍDICA</w:t>
      </w:r>
    </w:p>
    <w:p w14:paraId="0E6335DA">
      <w:pPr>
        <w:numPr>
          <w:ilvl w:val="0"/>
          <w:numId w:val="12"/>
        </w:numPr>
        <w:suppressAutoHyphens w:val="0"/>
        <w:spacing w:line="360" w:lineRule="auto"/>
        <w:ind w:left="-426" w:right="-853" w:firstLine="426"/>
        <w:jc w:val="both"/>
        <w:rPr>
          <w:rFonts w:ascii="Arial" w:hAnsi="Arial" w:cs="Arial"/>
          <w:sz w:val="22"/>
          <w:szCs w:val="22"/>
        </w:rPr>
      </w:pPr>
    </w:p>
    <w:p w14:paraId="7D3131A3">
      <w:pPr>
        <w:numPr>
          <w:ilvl w:val="0"/>
          <w:numId w:val="12"/>
        </w:numPr>
        <w:suppressAutoHyphens w:val="0"/>
        <w:spacing w:line="360" w:lineRule="auto"/>
        <w:ind w:left="-426" w:right="-853" w:firstLine="426"/>
        <w:jc w:val="both"/>
        <w:rPr>
          <w:rFonts w:ascii="Arial" w:hAnsi="Arial" w:cs="Arial"/>
          <w:b/>
          <w:bCs/>
          <w:sz w:val="22"/>
          <w:szCs w:val="22"/>
        </w:rPr>
      </w:pPr>
      <w:r>
        <w:rPr>
          <w:rFonts w:ascii="Arial" w:hAnsi="Arial" w:cs="Arial"/>
          <w:b/>
          <w:bCs/>
          <w:sz w:val="22"/>
          <w:szCs w:val="22"/>
        </w:rPr>
        <w:t>FICHA 276</w:t>
      </w:r>
    </w:p>
    <w:p w14:paraId="3A379A77">
      <w:pPr>
        <w:numPr>
          <w:ilvl w:val="0"/>
          <w:numId w:val="12"/>
        </w:numPr>
        <w:suppressAutoHyphens w:val="0"/>
        <w:spacing w:line="360" w:lineRule="auto"/>
        <w:ind w:left="-426" w:right="-853" w:firstLine="426"/>
        <w:jc w:val="both"/>
        <w:rPr>
          <w:rFonts w:ascii="Arial" w:hAnsi="Arial" w:cs="Arial"/>
          <w:sz w:val="22"/>
          <w:szCs w:val="22"/>
        </w:rPr>
      </w:pPr>
      <w:r>
        <w:rPr>
          <w:rFonts w:ascii="Arial" w:hAnsi="Arial" w:cs="Arial"/>
          <w:sz w:val="22"/>
          <w:szCs w:val="22"/>
        </w:rPr>
        <w:t xml:space="preserve">10.301.0034.2015.00433.3.90.39.00 </w:t>
      </w:r>
    </w:p>
    <w:bookmarkEnd w:id="4"/>
    <w:p w14:paraId="2DD0EACC">
      <w:pPr>
        <w:suppressAutoHyphens w:val="0"/>
        <w:spacing w:line="360" w:lineRule="auto"/>
        <w:ind w:left="-426" w:right="-853" w:firstLine="426"/>
        <w:jc w:val="both"/>
        <w:rPr>
          <w:rFonts w:ascii="Arial" w:hAnsi="Arial" w:cs="Arial"/>
          <w:sz w:val="22"/>
          <w:szCs w:val="22"/>
        </w:rPr>
      </w:pPr>
      <w:r>
        <w:rPr>
          <w:rFonts w:ascii="Arial" w:hAnsi="Arial" w:cs="Arial"/>
          <w:sz w:val="22"/>
          <w:szCs w:val="22"/>
        </w:rPr>
        <w:t>OUTROS SERVIÇOS DE TERCEIROS - PESSOA JURÍDICA</w:t>
      </w:r>
    </w:p>
    <w:p w14:paraId="09D7E414">
      <w:pPr>
        <w:suppressAutoHyphens w:val="0"/>
        <w:spacing w:line="360" w:lineRule="auto"/>
        <w:ind w:left="-426" w:right="-853" w:firstLine="426"/>
        <w:jc w:val="both"/>
        <w:rPr>
          <w:rFonts w:ascii="Arial" w:hAnsi="Arial" w:cs="Arial"/>
          <w:sz w:val="22"/>
          <w:szCs w:val="22"/>
        </w:rPr>
      </w:pPr>
    </w:p>
    <w:p w14:paraId="10DB7523">
      <w:pPr>
        <w:numPr>
          <w:ilvl w:val="0"/>
          <w:numId w:val="12"/>
        </w:numPr>
        <w:suppressAutoHyphens w:val="0"/>
        <w:spacing w:line="360" w:lineRule="auto"/>
        <w:ind w:left="-426" w:right="-853" w:firstLine="426"/>
        <w:jc w:val="both"/>
        <w:rPr>
          <w:rFonts w:ascii="Arial" w:hAnsi="Arial" w:cs="Arial"/>
          <w:b/>
          <w:bCs/>
          <w:sz w:val="22"/>
          <w:szCs w:val="22"/>
        </w:rPr>
      </w:pPr>
      <w:r>
        <w:rPr>
          <w:rFonts w:ascii="Arial" w:hAnsi="Arial" w:cs="Arial"/>
          <w:b/>
          <w:bCs/>
          <w:sz w:val="22"/>
          <w:szCs w:val="22"/>
        </w:rPr>
        <w:t>FICHA 296</w:t>
      </w:r>
    </w:p>
    <w:p w14:paraId="21B359EC">
      <w:pPr>
        <w:suppressAutoHyphens w:val="0"/>
        <w:spacing w:line="360" w:lineRule="auto"/>
        <w:ind w:left="-426" w:right="-853" w:firstLine="426"/>
        <w:jc w:val="both"/>
        <w:rPr>
          <w:rFonts w:ascii="Arial" w:hAnsi="Arial" w:cs="Arial"/>
          <w:sz w:val="22"/>
          <w:szCs w:val="22"/>
        </w:rPr>
      </w:pPr>
      <w:r>
        <w:rPr>
          <w:rFonts w:ascii="Arial" w:hAnsi="Arial" w:cs="Arial"/>
          <w:sz w:val="22"/>
          <w:szCs w:val="22"/>
        </w:rPr>
        <w:t xml:space="preserve">10.302.0034.2041.00103.3.90.39.00 </w:t>
      </w:r>
    </w:p>
    <w:p w14:paraId="1BE78982">
      <w:pPr>
        <w:suppressAutoHyphens w:val="0"/>
        <w:spacing w:line="360" w:lineRule="auto"/>
        <w:ind w:left="-426" w:right="-853" w:firstLine="426"/>
        <w:jc w:val="both"/>
        <w:rPr>
          <w:rFonts w:ascii="Arial" w:hAnsi="Arial" w:cs="Arial"/>
          <w:sz w:val="22"/>
          <w:szCs w:val="22"/>
        </w:rPr>
      </w:pPr>
      <w:r>
        <w:rPr>
          <w:rFonts w:ascii="Arial" w:hAnsi="Arial" w:cs="Arial"/>
          <w:sz w:val="22"/>
          <w:szCs w:val="22"/>
        </w:rPr>
        <w:t>OUTROS SERVIÇOS DE TERCEIROS - PESSOA JURÍDICA</w:t>
      </w:r>
    </w:p>
    <w:p w14:paraId="5F641BF5">
      <w:pPr>
        <w:suppressAutoHyphens w:val="0"/>
        <w:spacing w:line="360" w:lineRule="auto"/>
        <w:ind w:left="-426" w:right="-853" w:firstLine="426"/>
        <w:jc w:val="both"/>
        <w:rPr>
          <w:rFonts w:ascii="Arial" w:hAnsi="Arial" w:cs="Arial"/>
          <w:sz w:val="22"/>
          <w:szCs w:val="22"/>
        </w:rPr>
      </w:pPr>
    </w:p>
    <w:p w14:paraId="4FA3A07E">
      <w:pPr>
        <w:numPr>
          <w:ilvl w:val="0"/>
          <w:numId w:val="12"/>
        </w:numPr>
        <w:suppressAutoHyphens w:val="0"/>
        <w:spacing w:line="360" w:lineRule="auto"/>
        <w:ind w:left="-426" w:right="-853" w:firstLine="426"/>
        <w:jc w:val="both"/>
        <w:rPr>
          <w:rFonts w:ascii="Arial" w:hAnsi="Arial" w:cs="Arial"/>
          <w:b/>
          <w:bCs/>
          <w:sz w:val="22"/>
          <w:szCs w:val="22"/>
        </w:rPr>
      </w:pPr>
      <w:r>
        <w:rPr>
          <w:rFonts w:ascii="Arial" w:hAnsi="Arial" w:cs="Arial"/>
          <w:b/>
          <w:bCs/>
          <w:sz w:val="22"/>
          <w:szCs w:val="22"/>
        </w:rPr>
        <w:t>FICHA 299</w:t>
      </w:r>
    </w:p>
    <w:p w14:paraId="0E9B1944">
      <w:pPr>
        <w:suppressAutoHyphens w:val="0"/>
        <w:spacing w:line="360" w:lineRule="auto"/>
        <w:ind w:left="-426" w:right="-853" w:firstLine="426"/>
        <w:jc w:val="both"/>
        <w:rPr>
          <w:rFonts w:ascii="Arial" w:hAnsi="Arial" w:cs="Arial"/>
          <w:sz w:val="22"/>
          <w:szCs w:val="22"/>
        </w:rPr>
      </w:pPr>
      <w:r>
        <w:rPr>
          <w:rFonts w:ascii="Arial" w:hAnsi="Arial" w:cs="Arial"/>
          <w:sz w:val="22"/>
          <w:szCs w:val="22"/>
        </w:rPr>
        <w:t xml:space="preserve">10.302.0034.2041.03103.3.90.39.00 </w:t>
      </w:r>
    </w:p>
    <w:p w14:paraId="3751FE41">
      <w:pPr>
        <w:suppressAutoHyphens w:val="0"/>
        <w:spacing w:line="360" w:lineRule="auto"/>
        <w:ind w:left="-426" w:right="-853" w:firstLine="426"/>
        <w:jc w:val="both"/>
        <w:rPr>
          <w:rFonts w:ascii="Arial" w:hAnsi="Arial" w:cs="Arial"/>
          <w:sz w:val="22"/>
          <w:szCs w:val="22"/>
        </w:rPr>
      </w:pPr>
      <w:r>
        <w:rPr>
          <w:rFonts w:ascii="Arial" w:hAnsi="Arial" w:cs="Arial"/>
          <w:sz w:val="22"/>
          <w:szCs w:val="22"/>
        </w:rPr>
        <w:t>OUTROS SERVIÇOS DE TERCEIROS - PESSOA JURÍDICA</w:t>
      </w:r>
    </w:p>
    <w:p w14:paraId="49F833F4">
      <w:pPr>
        <w:spacing w:line="360" w:lineRule="auto"/>
        <w:ind w:right="-708"/>
        <w:jc w:val="both"/>
        <w:rPr>
          <w:rFonts w:ascii="Arial" w:hAnsi="Arial" w:cs="Arial"/>
          <w:sz w:val="22"/>
          <w:szCs w:val="22"/>
        </w:rPr>
      </w:pPr>
    </w:p>
    <w:p w14:paraId="2E626DAF">
      <w:pPr>
        <w:spacing w:line="360" w:lineRule="auto"/>
        <w:ind w:right="-708"/>
        <w:jc w:val="both"/>
        <w:rPr>
          <w:rFonts w:ascii="Arial" w:hAnsi="Arial" w:eastAsia="Arial-BoldMT" w:cs="Arial"/>
          <w:b/>
          <w:bCs/>
          <w:sz w:val="24"/>
          <w:szCs w:val="24"/>
        </w:rPr>
      </w:pPr>
    </w:p>
    <w:p w14:paraId="65DEFBC8">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42ABE84F">
      <w:pPr>
        <w:spacing w:line="360" w:lineRule="auto"/>
        <w:ind w:left="-567" w:right="-708" w:firstLine="709"/>
        <w:jc w:val="both"/>
        <w:rPr>
          <w:rFonts w:ascii="Arial" w:hAnsi="Arial" w:eastAsia="Arial-BoldMT" w:cs="Arial"/>
          <w:b/>
          <w:bCs/>
          <w:sz w:val="24"/>
          <w:szCs w:val="24"/>
        </w:rPr>
      </w:pPr>
    </w:p>
    <w:p w14:paraId="060B168D">
      <w:pPr>
        <w:spacing w:line="360" w:lineRule="auto"/>
        <w:ind w:left="-567" w:right="-708" w:firstLine="851"/>
        <w:jc w:val="both"/>
        <w:rPr>
          <w:rFonts w:ascii="Arial" w:hAnsi="Arial" w:eastAsia="Arial-BoldMT" w:cs="Arial"/>
          <w:sz w:val="24"/>
          <w:szCs w:val="24"/>
        </w:rPr>
      </w:pPr>
      <w:r>
        <w:rPr>
          <w:rFonts w:ascii="Arial" w:hAnsi="Arial" w:eastAsia="Arial-BoldMT" w:cs="Arial"/>
          <w:sz w:val="24"/>
          <w:szCs w:val="24"/>
        </w:rPr>
        <w:t>A especificação do objeto desta contratação observa preferencialmente as diretrizes do Catálogo Eletrônico de Padronização, instrumento gerido pela Secretaria de Gestão e Inovação que consolida padrões técnicos homologados para compras e serviços públicos, garantindo conformidade com requisitos de qualidade, rendimento, compatibilidade, durabilidade e segurança. Essa adoção assegura que a descrição da consultoria em tratamento de feridas e lesões domiciliares esteja alinhada às melhores práticas nacionais, com especificações validadas por Comissões de Padronização multiprofissionais e submetidas a etapas obrigatórias de Parecer Técnico, Audiência Pública e Consulta Pública – conforme estabelecido pela Portaria Seges/ME nº 938/2022 1. A opção pelo catálogo, além de atender ao princípio da economicidade, evita exigências excessivas ou irrelevantes (14.133/2021), assegurando que o objeto seja descrito com clareza, impessoalidade e aderência ao interesse público, mesmo em casos excepcionais de indicação de marca, que demandam justificativa técnica detalhada para não restringir a competitividade.</w:t>
      </w:r>
    </w:p>
    <w:p w14:paraId="117D18A4">
      <w:pPr>
        <w:spacing w:line="360" w:lineRule="auto"/>
        <w:ind w:left="-567" w:right="-708" w:firstLine="709"/>
        <w:jc w:val="both"/>
        <w:rPr>
          <w:rFonts w:ascii="Arial" w:hAnsi="Arial" w:eastAsia="Arial-BoldMT" w:cs="Arial"/>
          <w:sz w:val="24"/>
          <w:szCs w:val="24"/>
        </w:rPr>
      </w:pPr>
    </w:p>
    <w:p w14:paraId="31E88A8C">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398A116A">
      <w:pPr>
        <w:spacing w:line="360" w:lineRule="auto"/>
        <w:ind w:left="-567" w:right="-708" w:firstLine="709"/>
        <w:jc w:val="both"/>
        <w:rPr>
          <w:rFonts w:ascii="Arial" w:hAnsi="Arial" w:eastAsia="Arial-BoldMT" w:cs="Arial"/>
          <w:sz w:val="24"/>
          <w:szCs w:val="24"/>
        </w:rPr>
      </w:pPr>
    </w:p>
    <w:p w14:paraId="2977297F">
      <w:pPr>
        <w:spacing w:line="360" w:lineRule="auto"/>
        <w:ind w:left="-567" w:right="-428" w:firstLine="709"/>
        <w:jc w:val="both"/>
        <w:rPr>
          <w:rFonts w:ascii="Arial" w:hAnsi="Arial" w:eastAsia="Arial-BoldMT" w:cs="Arial"/>
          <w:sz w:val="24"/>
          <w:szCs w:val="24"/>
        </w:rPr>
      </w:pPr>
      <w:r>
        <w:rPr>
          <w:rFonts w:ascii="Arial" w:hAnsi="Arial" w:eastAsia="Arial-BoldMT" w:cs="Arial"/>
          <w:sz w:val="24"/>
          <w:szCs w:val="24"/>
        </w:rPr>
        <w:t xml:space="preserve">O local onde o curso será ministrado, será indicado pela prefeitura de Rifaina ao menos 48 horas antes do início do curso </w:t>
      </w:r>
    </w:p>
    <w:p w14:paraId="2175AD55">
      <w:pPr>
        <w:spacing w:line="360" w:lineRule="auto"/>
        <w:ind w:left="-567" w:right="-708" w:firstLine="709"/>
        <w:jc w:val="both"/>
        <w:rPr>
          <w:rFonts w:ascii="Arial" w:hAnsi="Arial" w:eastAsia="Arial-BoldMT" w:cs="Arial"/>
          <w:sz w:val="24"/>
          <w:szCs w:val="24"/>
        </w:rPr>
      </w:pPr>
    </w:p>
    <w:p w14:paraId="6C18B7C0">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503E78D0">
      <w:pPr>
        <w:spacing w:line="360" w:lineRule="auto"/>
        <w:ind w:left="-709" w:right="-708" w:firstLine="426"/>
        <w:jc w:val="both"/>
        <w:rPr>
          <w:rFonts w:ascii="Arial" w:hAnsi="Arial" w:eastAsia="Arial-BoldMT" w:cs="Arial"/>
          <w:sz w:val="24"/>
          <w:szCs w:val="24"/>
        </w:rPr>
      </w:pPr>
      <w:r>
        <w:rPr>
          <w:rFonts w:ascii="Arial" w:hAnsi="Arial" w:eastAsia="Arial-BoldMT" w:cs="Arial"/>
          <w:sz w:val="24"/>
          <w:szCs w:val="24"/>
        </w:rPr>
        <w:t xml:space="preserve">A contratação exige garantia de 12 meses sobre os serviços prestados, durante os quais a contratada obriga-se a: </w:t>
      </w:r>
    </w:p>
    <w:p w14:paraId="114FB5FA">
      <w:pPr>
        <w:numPr>
          <w:ilvl w:val="0"/>
          <w:numId w:val="13"/>
        </w:numPr>
        <w:spacing w:line="360" w:lineRule="auto"/>
        <w:ind w:left="-709" w:right="-708" w:firstLine="426"/>
        <w:jc w:val="both"/>
        <w:rPr>
          <w:rFonts w:ascii="Arial" w:hAnsi="Arial" w:eastAsia="Arial-BoldMT" w:cs="Arial"/>
          <w:sz w:val="24"/>
          <w:szCs w:val="24"/>
        </w:rPr>
      </w:pPr>
      <w:r>
        <w:rPr>
          <w:rFonts w:ascii="Arial" w:hAnsi="Arial" w:eastAsia="Arial-BoldMT" w:cs="Arial"/>
          <w:sz w:val="24"/>
          <w:szCs w:val="24"/>
        </w:rPr>
        <w:t xml:space="preserve">corrigir imediatamente não conformidades técnicas em protocolos ou treinamentos; </w:t>
      </w:r>
    </w:p>
    <w:p w14:paraId="5C9668C5">
      <w:pPr>
        <w:numPr>
          <w:ilvl w:val="0"/>
          <w:numId w:val="13"/>
        </w:numPr>
        <w:spacing w:line="360" w:lineRule="auto"/>
        <w:ind w:left="-709" w:right="-708" w:firstLine="426"/>
        <w:jc w:val="both"/>
        <w:rPr>
          <w:rFonts w:ascii="Arial" w:hAnsi="Arial" w:eastAsia="Arial-BoldMT" w:cs="Arial"/>
          <w:sz w:val="24"/>
          <w:szCs w:val="24"/>
        </w:rPr>
      </w:pPr>
      <w:r>
        <w:rPr>
          <w:rFonts w:ascii="Arial" w:hAnsi="Arial" w:eastAsia="Arial-BoldMT" w:cs="Arial"/>
          <w:sz w:val="24"/>
          <w:szCs w:val="24"/>
        </w:rPr>
        <w:t xml:space="preserve">reaplicar capacitações sem custo se detectadas falhas pedagógicas; e </w:t>
      </w:r>
    </w:p>
    <w:p w14:paraId="5E1665E2">
      <w:pPr>
        <w:numPr>
          <w:ilvl w:val="0"/>
          <w:numId w:val="13"/>
        </w:numPr>
        <w:spacing w:line="360" w:lineRule="auto"/>
        <w:ind w:left="-709" w:right="-708" w:firstLine="426"/>
        <w:jc w:val="both"/>
        <w:rPr>
          <w:rFonts w:ascii="Arial" w:hAnsi="Arial" w:eastAsia="Arial-BoldMT" w:cs="Arial"/>
          <w:sz w:val="24"/>
          <w:szCs w:val="24"/>
        </w:rPr>
      </w:pPr>
      <w:r>
        <w:rPr>
          <w:rFonts w:ascii="Arial" w:hAnsi="Arial" w:eastAsia="Arial-BoldMT" w:cs="Arial"/>
          <w:sz w:val="24"/>
          <w:szCs w:val="24"/>
        </w:rPr>
        <w:t>prestar assistência remota diária (6h-18h) para dúvidas operacionais. Inclui ainda:</w:t>
      </w:r>
    </w:p>
    <w:p w14:paraId="62620070">
      <w:pPr>
        <w:numPr>
          <w:ilvl w:val="0"/>
          <w:numId w:val="14"/>
        </w:numPr>
        <w:spacing w:line="360" w:lineRule="auto"/>
        <w:ind w:left="-709" w:right="-708" w:firstLine="426"/>
        <w:jc w:val="both"/>
        <w:rPr>
          <w:rFonts w:ascii="Arial" w:hAnsi="Arial" w:eastAsia="Arial-BoldMT" w:cs="Arial"/>
          <w:sz w:val="24"/>
          <w:szCs w:val="24"/>
        </w:rPr>
      </w:pPr>
      <w:r>
        <w:rPr>
          <w:rFonts w:ascii="Arial" w:hAnsi="Arial" w:eastAsia="Arial-BoldMT" w:cs="Arial"/>
          <w:sz w:val="24"/>
          <w:szCs w:val="24"/>
        </w:rPr>
        <w:t>Atualizações semestrais gratuitas dos protocolos;</w:t>
      </w:r>
    </w:p>
    <w:p w14:paraId="3B5025A3">
      <w:pPr>
        <w:numPr>
          <w:ilvl w:val="0"/>
          <w:numId w:val="14"/>
        </w:numPr>
        <w:spacing w:line="360" w:lineRule="auto"/>
        <w:ind w:left="-709" w:right="-708" w:firstLine="426"/>
        <w:jc w:val="both"/>
        <w:rPr>
          <w:rFonts w:ascii="Arial" w:hAnsi="Arial" w:eastAsia="Arial-BoldMT" w:cs="Arial"/>
          <w:sz w:val="24"/>
          <w:szCs w:val="24"/>
        </w:rPr>
      </w:pPr>
      <w:r>
        <w:rPr>
          <w:rFonts w:ascii="Arial" w:hAnsi="Arial" w:eastAsia="Arial-BoldMT" w:cs="Arial"/>
          <w:sz w:val="24"/>
          <w:szCs w:val="24"/>
        </w:rPr>
        <w:t>Suporte técnico especializado em 48h para casos complexos;</w:t>
      </w:r>
    </w:p>
    <w:p w14:paraId="6653143A">
      <w:pPr>
        <w:numPr>
          <w:ilvl w:val="0"/>
          <w:numId w:val="14"/>
        </w:numPr>
        <w:spacing w:line="360" w:lineRule="auto"/>
        <w:ind w:left="-709" w:right="-708" w:firstLine="426"/>
        <w:jc w:val="both"/>
        <w:rPr>
          <w:rFonts w:ascii="Arial" w:hAnsi="Arial" w:eastAsia="Arial-BoldMT" w:cs="Arial"/>
          <w:sz w:val="24"/>
          <w:szCs w:val="24"/>
        </w:rPr>
      </w:pPr>
      <w:r>
        <w:rPr>
          <w:rFonts w:ascii="Arial" w:hAnsi="Arial" w:eastAsia="Arial-BoldMT" w:cs="Arial"/>
          <w:sz w:val="24"/>
          <w:szCs w:val="24"/>
        </w:rPr>
        <w:t>Relatórios mensais preventivos com análise de indicadores,</w:t>
      </w:r>
      <w:r>
        <w:rPr>
          <w:rFonts w:ascii="Arial" w:hAnsi="Arial" w:eastAsia="Arial-BoldMT" w:cs="Arial"/>
          <w:sz w:val="24"/>
          <w:szCs w:val="24"/>
        </w:rPr>
        <w:br w:type="textWrapping"/>
      </w:r>
      <w:r>
        <w:rPr>
          <w:rFonts w:ascii="Arial" w:hAnsi="Arial" w:eastAsia="Arial-BoldMT" w:cs="Arial"/>
          <w:sz w:val="24"/>
          <w:szCs w:val="24"/>
        </w:rPr>
        <w:t>assegurando conformidade com o Art. 149 da Lei 14.133/2021 e sustentabilidade dos resultados.</w:t>
      </w:r>
    </w:p>
    <w:p w14:paraId="2EE2F244">
      <w:pPr>
        <w:spacing w:line="360" w:lineRule="auto"/>
        <w:ind w:left="-567" w:right="-708" w:firstLine="709"/>
        <w:jc w:val="both"/>
        <w:rPr>
          <w:rFonts w:ascii="Arial" w:hAnsi="Arial" w:eastAsia="Arial-BoldMT" w:cs="Arial"/>
          <w:vanish/>
          <w:sz w:val="24"/>
          <w:szCs w:val="24"/>
        </w:rPr>
      </w:pPr>
      <w:r>
        <w:rPr>
          <w:rFonts w:ascii="Arial" w:hAnsi="Arial" w:eastAsia="Arial-BoldMT" w:cs="Arial"/>
          <w:vanish/>
          <w:sz w:val="24"/>
          <w:szCs w:val="24"/>
        </w:rPr>
        <w:t>Parte superior do formulário</w:t>
      </w:r>
    </w:p>
    <w:p w14:paraId="2930E714">
      <w:pPr>
        <w:spacing w:line="360" w:lineRule="auto"/>
        <w:ind w:right="-708"/>
        <w:jc w:val="both"/>
        <w:rPr>
          <w:rFonts w:ascii="Arial" w:hAnsi="Arial" w:eastAsia="Arial-BoldMT" w:cs="Arial"/>
          <w:vanish/>
          <w:sz w:val="24"/>
          <w:szCs w:val="24"/>
        </w:rPr>
      </w:pPr>
      <w:r>
        <w:rPr>
          <w:rFonts w:ascii="Arial" w:hAnsi="Arial" w:eastAsia="Arial-BoldMT" w:cs="Arial"/>
          <w:vanish/>
          <w:sz w:val="24"/>
          <w:szCs w:val="24"/>
        </w:rPr>
        <w:t>Parte inferior do formulário</w:t>
      </w:r>
    </w:p>
    <w:p w14:paraId="23C1F08A">
      <w:pPr>
        <w:spacing w:line="360" w:lineRule="auto"/>
        <w:ind w:right="-708"/>
        <w:jc w:val="both"/>
        <w:rPr>
          <w:rFonts w:ascii="Arial" w:hAnsi="Arial" w:eastAsia="Arial-BoldMT" w:cs="Arial"/>
          <w:b/>
          <w:bCs/>
          <w:sz w:val="24"/>
          <w:szCs w:val="24"/>
        </w:rPr>
      </w:pPr>
    </w:p>
    <w:p w14:paraId="6EA2945D">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Agente responsável: </w:t>
      </w:r>
    </w:p>
    <w:p w14:paraId="216F0750">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Alysson Silva Gonçalves</w:t>
      </w:r>
    </w:p>
    <w:p w14:paraId="67A22C0F">
      <w:pPr>
        <w:spacing w:line="360" w:lineRule="auto"/>
        <w:ind w:left="-567" w:right="-708" w:firstLine="709"/>
        <w:jc w:val="both"/>
        <w:rPr>
          <w:rFonts w:ascii="Arial" w:hAnsi="Arial" w:cs="Arial"/>
          <w:sz w:val="24"/>
          <w:szCs w:val="24"/>
        </w:rPr>
      </w:pPr>
      <w:r>
        <w:rPr>
          <w:rFonts w:ascii="Arial" w:hAnsi="Arial" w:eastAsia="Arial-BoldMT" w:cs="Arial"/>
          <w:b/>
          <w:bCs/>
          <w:sz w:val="24"/>
          <w:szCs w:val="24"/>
        </w:rPr>
        <w:t>Setor solicitante:</w:t>
      </w:r>
    </w:p>
    <w:p w14:paraId="0B3661D9">
      <w:pPr>
        <w:ind w:left="-567" w:right="-708" w:firstLine="709"/>
        <w:jc w:val="both"/>
        <w:rPr>
          <w:rFonts w:ascii="Arial" w:hAnsi="Arial" w:eastAsia="Arial-BoldMT" w:cs="Arial"/>
          <w:bCs/>
          <w:sz w:val="24"/>
          <w:szCs w:val="24"/>
        </w:rPr>
      </w:pPr>
      <w:r>
        <w:rPr>
          <w:rFonts w:ascii="Arial" w:hAnsi="Arial" w:eastAsia="Arial-BoldMT" w:cs="Arial"/>
          <w:bCs/>
          <w:sz w:val="24"/>
          <w:szCs w:val="24"/>
        </w:rPr>
        <w:t>Secretaria Municipal de Saúde</w:t>
      </w:r>
    </w:p>
    <w:p w14:paraId="51F3BC69">
      <w:pPr>
        <w:spacing w:line="360" w:lineRule="auto"/>
        <w:ind w:right="-708"/>
        <w:jc w:val="both"/>
        <w:rPr>
          <w:rFonts w:ascii="Arial" w:hAnsi="Arial" w:cs="Arial"/>
          <w:sz w:val="24"/>
          <w:szCs w:val="24"/>
        </w:rPr>
      </w:pPr>
    </w:p>
    <w:p w14:paraId="2F3B989D">
      <w:pPr>
        <w:spacing w:line="360" w:lineRule="auto"/>
        <w:ind w:left="-567" w:right="-708" w:firstLine="709"/>
        <w:jc w:val="both"/>
        <w:rPr>
          <w:rFonts w:ascii="Arial" w:hAnsi="Arial" w:cs="Arial"/>
          <w:sz w:val="24"/>
          <w:szCs w:val="24"/>
        </w:rPr>
      </w:pPr>
      <w:r>
        <w:rPr>
          <w:rFonts w:ascii="Arial" w:hAnsi="Arial" w:cs="Arial"/>
          <w:sz w:val="24"/>
          <w:szCs w:val="24"/>
        </w:rPr>
        <w:t>Rifaina, 14 de agosto de 2025.</w:t>
      </w:r>
    </w:p>
    <w:p w14:paraId="1A45935B">
      <w:pPr>
        <w:spacing w:line="360" w:lineRule="auto"/>
        <w:ind w:left="-567" w:right="-708" w:firstLine="709"/>
        <w:jc w:val="both"/>
        <w:rPr>
          <w:rFonts w:ascii="Arial" w:hAnsi="Arial" w:cs="Arial"/>
          <w:sz w:val="24"/>
          <w:szCs w:val="24"/>
        </w:rPr>
      </w:pPr>
    </w:p>
    <w:p w14:paraId="512DEA3F">
      <w:pPr>
        <w:spacing w:line="360" w:lineRule="auto"/>
        <w:ind w:left="-567" w:right="-708" w:firstLine="709"/>
        <w:jc w:val="both"/>
        <w:rPr>
          <w:rFonts w:ascii="Arial" w:hAnsi="Arial" w:cs="Arial"/>
          <w:sz w:val="24"/>
          <w:szCs w:val="24"/>
        </w:rPr>
      </w:pPr>
    </w:p>
    <w:p w14:paraId="2BC4F7C4">
      <w:pPr>
        <w:spacing w:line="360" w:lineRule="auto"/>
        <w:ind w:right="-708"/>
        <w:jc w:val="both"/>
        <w:rPr>
          <w:rFonts w:ascii="Arial" w:hAnsi="Arial" w:cs="Arial"/>
          <w:sz w:val="24"/>
          <w:szCs w:val="24"/>
        </w:rPr>
      </w:pPr>
    </w:p>
    <w:p w14:paraId="421A5A6B">
      <w:pPr>
        <w:spacing w:line="360" w:lineRule="auto"/>
        <w:ind w:right="-708"/>
        <w:jc w:val="both"/>
        <w:rPr>
          <w:rFonts w:ascii="Arial" w:hAnsi="Arial" w:cs="Arial"/>
          <w:sz w:val="24"/>
          <w:szCs w:val="24"/>
        </w:rPr>
        <w:sectPr>
          <w:headerReference r:id="rId9" w:type="default"/>
          <w:footerReference r:id="rId10" w:type="default"/>
          <w:pgSz w:w="11906" w:h="16838"/>
          <w:pgMar w:top="1418" w:right="1274" w:bottom="1134" w:left="1134" w:header="539" w:footer="533" w:gutter="0"/>
          <w:cols w:space="720" w:num="1"/>
          <w:docGrid w:linePitch="360" w:charSpace="0"/>
        </w:sectPr>
      </w:pPr>
    </w:p>
    <w:p w14:paraId="4CF79204">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w:t>
      </w:r>
    </w:p>
    <w:p w14:paraId="3437E9AD">
      <w:pPr>
        <w:spacing w:line="360" w:lineRule="auto"/>
        <w:ind w:left="-567" w:right="-708" w:firstLine="709"/>
        <w:jc w:val="both"/>
        <w:rPr>
          <w:rFonts w:ascii="Arial" w:hAnsi="Arial" w:cs="Arial"/>
          <w:sz w:val="24"/>
          <w:szCs w:val="24"/>
        </w:rPr>
      </w:pPr>
      <w:r>
        <w:rPr>
          <w:rFonts w:ascii="Arial" w:hAnsi="Arial" w:cs="Arial"/>
          <w:sz w:val="24"/>
          <w:szCs w:val="24"/>
        </w:rPr>
        <w:t>Wilson Alves da Silva Junior</w:t>
      </w:r>
    </w:p>
    <w:p w14:paraId="6C4F2001">
      <w:pPr>
        <w:spacing w:line="360" w:lineRule="auto"/>
        <w:ind w:left="-567" w:right="-708" w:firstLine="709"/>
        <w:jc w:val="both"/>
        <w:rPr>
          <w:rFonts w:ascii="Arial" w:hAnsi="Arial" w:cs="Arial"/>
          <w:sz w:val="24"/>
          <w:szCs w:val="24"/>
        </w:rPr>
      </w:pPr>
      <w:r>
        <w:rPr>
          <w:rFonts w:ascii="Arial" w:hAnsi="Arial" w:cs="Arial"/>
          <w:sz w:val="24"/>
          <w:szCs w:val="24"/>
        </w:rPr>
        <w:t xml:space="preserve">Prefeito </w:t>
      </w:r>
    </w:p>
    <w:p w14:paraId="5F692065">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w:t>
      </w:r>
    </w:p>
    <w:p w14:paraId="4919CB61">
      <w:pPr>
        <w:spacing w:line="360" w:lineRule="auto"/>
        <w:ind w:left="-567" w:right="-708" w:firstLine="709"/>
        <w:jc w:val="both"/>
        <w:rPr>
          <w:rFonts w:ascii="Arial" w:hAnsi="Arial" w:cs="Arial"/>
          <w:sz w:val="24"/>
          <w:szCs w:val="24"/>
        </w:rPr>
      </w:pPr>
      <w:r>
        <w:rPr>
          <w:rFonts w:ascii="Arial" w:hAnsi="Arial" w:cs="Arial"/>
          <w:sz w:val="24"/>
          <w:szCs w:val="24"/>
        </w:rPr>
        <w:t>Alysson Silva Gonçalves</w:t>
      </w:r>
    </w:p>
    <w:p w14:paraId="5FE29199">
      <w:pPr>
        <w:spacing w:line="360" w:lineRule="auto"/>
        <w:ind w:left="-567" w:right="-708" w:firstLine="709"/>
        <w:jc w:val="both"/>
        <w:rPr>
          <w:rFonts w:ascii="Arial" w:hAnsi="Arial" w:cs="Arial"/>
          <w:sz w:val="24"/>
          <w:szCs w:val="24"/>
        </w:rPr>
      </w:pPr>
      <w:r>
        <w:rPr>
          <w:rFonts w:ascii="Arial" w:hAnsi="Arial" w:cs="Arial"/>
          <w:sz w:val="24"/>
          <w:szCs w:val="24"/>
        </w:rPr>
        <w:t>Secretário Municipal de Saúde</w:t>
      </w:r>
    </w:p>
    <w:p w14:paraId="73BEC1F4">
      <w:pPr>
        <w:ind w:right="-708"/>
        <w:jc w:val="both"/>
        <w:rPr>
          <w:rFonts w:ascii="Arial" w:hAnsi="Arial" w:cs="Arial"/>
          <w:sz w:val="24"/>
          <w:szCs w:val="24"/>
        </w:rPr>
        <w:sectPr>
          <w:type w:val="continuous"/>
          <w:pgSz w:w="11906" w:h="16838"/>
          <w:pgMar w:top="1418" w:right="1274" w:bottom="1134" w:left="1134" w:header="539" w:footer="533" w:gutter="0"/>
          <w:cols w:space="720" w:num="2"/>
          <w:docGrid w:linePitch="360" w:charSpace="0"/>
        </w:sectPr>
      </w:pPr>
    </w:p>
    <w:p w14:paraId="4FE58459">
      <w:pPr>
        <w:ind w:right="-708"/>
        <w:jc w:val="both"/>
        <w:rPr>
          <w:rFonts w:ascii="Arial" w:hAnsi="Arial" w:cs="Arial"/>
          <w:sz w:val="24"/>
          <w:szCs w:val="24"/>
        </w:rPr>
      </w:pPr>
    </w:p>
    <w:p w14:paraId="706D0F21">
      <w:pPr>
        <w:spacing w:line="276" w:lineRule="auto"/>
        <w:ind w:right="-2"/>
        <w:rPr>
          <w:rFonts w:ascii="Arial" w:hAnsi="Arial" w:eastAsia="Arial-BoldMT" w:cs="Arial"/>
          <w:sz w:val="24"/>
          <w:szCs w:val="24"/>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23</w:t>
      </w:r>
      <w:r>
        <w:rPr>
          <w:b/>
          <w:bCs/>
          <w:lang w:val="pt-BR"/>
        </w:rPr>
        <w:t>/</w:t>
      </w:r>
      <w:r>
        <w:rPr>
          <w:b/>
          <w:bCs/>
        </w:rPr>
        <w:t xml:space="preserve">2025 PROCESSO ADM N° </w:t>
      </w:r>
      <w:r>
        <w:rPr>
          <w:b/>
          <w:bCs/>
          <w:lang w:val="pt-BR"/>
        </w:rPr>
        <w:t>3</w:t>
      </w:r>
      <w:r>
        <w:rPr>
          <w:rFonts w:hint="default"/>
          <w:b/>
          <w:bCs/>
          <w:lang w:val="pt-BR"/>
        </w:rPr>
        <w:t>68</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7D52D920">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3CBF1F07">
      <w:pPr>
        <w:spacing w:line="360" w:lineRule="auto"/>
        <w:ind w:left="-567" w:right="-708" w:firstLine="709"/>
        <w:jc w:val="both"/>
        <w:rPr>
          <w:rFonts w:ascii="Arial" w:hAnsi="Arial" w:eastAsia="Arial-BoldMT" w:cs="Arial"/>
          <w:b/>
          <w:bCs/>
          <w:sz w:val="24"/>
          <w:szCs w:val="24"/>
        </w:rPr>
      </w:pPr>
    </w:p>
    <w:tbl>
      <w:tblPr>
        <w:tblStyle w:val="4"/>
        <w:tblW w:w="9260" w:type="dxa"/>
        <w:tblInd w:w="80" w:type="dxa"/>
        <w:tblLayout w:type="autofit"/>
        <w:tblCellMar>
          <w:top w:w="0" w:type="dxa"/>
          <w:left w:w="70" w:type="dxa"/>
          <w:bottom w:w="0" w:type="dxa"/>
          <w:right w:w="70" w:type="dxa"/>
        </w:tblCellMar>
      </w:tblPr>
      <w:tblGrid>
        <w:gridCol w:w="960"/>
        <w:gridCol w:w="960"/>
        <w:gridCol w:w="960"/>
        <w:gridCol w:w="3280"/>
        <w:gridCol w:w="1720"/>
        <w:gridCol w:w="1380"/>
      </w:tblGrid>
      <w:tr w14:paraId="719DF007">
        <w:tblPrEx>
          <w:tblCellMar>
            <w:top w:w="0" w:type="dxa"/>
            <w:left w:w="70" w:type="dxa"/>
            <w:bottom w:w="0" w:type="dxa"/>
            <w:right w:w="70" w:type="dxa"/>
          </w:tblCellMar>
        </w:tblPrEx>
        <w:trPr>
          <w:trHeight w:val="315" w:hRule="atLeast"/>
        </w:trPr>
        <w:tc>
          <w:tcPr>
            <w:tcW w:w="960" w:type="dxa"/>
            <w:tcBorders>
              <w:top w:val="single" w:color="auto" w:sz="8" w:space="0"/>
              <w:left w:val="single" w:color="auto" w:sz="8" w:space="0"/>
              <w:bottom w:val="single" w:color="auto" w:sz="8" w:space="0"/>
              <w:right w:val="single" w:color="auto" w:sz="8" w:space="0"/>
            </w:tcBorders>
            <w:noWrap/>
            <w:vAlign w:val="center"/>
          </w:tcPr>
          <w:p w14:paraId="4F3576A8">
            <w:pPr>
              <w:suppressAutoHyphens w:val="0"/>
              <w:rPr>
                <w:rFonts w:ascii="Arial" w:hAnsi="Arial" w:cs="Arial"/>
                <w:b/>
                <w:bCs/>
                <w:color w:val="000000"/>
                <w:lang w:eastAsia="pt-BR"/>
              </w:rPr>
            </w:pPr>
            <w:r>
              <w:rPr>
                <w:rFonts w:ascii="Arial" w:hAnsi="Arial" w:cs="Arial"/>
                <w:b/>
                <w:bCs/>
                <w:color w:val="000000"/>
                <w:lang w:eastAsia="pt-BR"/>
              </w:rPr>
              <w:t>ITEM</w:t>
            </w:r>
          </w:p>
        </w:tc>
        <w:tc>
          <w:tcPr>
            <w:tcW w:w="960" w:type="dxa"/>
            <w:tcBorders>
              <w:top w:val="single" w:color="auto" w:sz="8" w:space="0"/>
              <w:left w:val="nil"/>
              <w:bottom w:val="single" w:color="auto" w:sz="8" w:space="0"/>
              <w:right w:val="single" w:color="auto" w:sz="8" w:space="0"/>
            </w:tcBorders>
            <w:noWrap/>
            <w:vAlign w:val="center"/>
          </w:tcPr>
          <w:p w14:paraId="66313F8D">
            <w:pPr>
              <w:suppressAutoHyphens w:val="0"/>
              <w:rPr>
                <w:rFonts w:ascii="Arial" w:hAnsi="Arial" w:cs="Arial"/>
                <w:b/>
                <w:bCs/>
                <w:color w:val="000000"/>
                <w:lang w:eastAsia="pt-BR"/>
              </w:rPr>
            </w:pPr>
            <w:r>
              <w:rPr>
                <w:rFonts w:ascii="Arial" w:hAnsi="Arial" w:cs="Arial"/>
                <w:b/>
                <w:bCs/>
                <w:color w:val="000000"/>
                <w:lang w:eastAsia="pt-BR"/>
              </w:rPr>
              <w:t>UNID</w:t>
            </w:r>
          </w:p>
        </w:tc>
        <w:tc>
          <w:tcPr>
            <w:tcW w:w="960" w:type="dxa"/>
            <w:tcBorders>
              <w:top w:val="single" w:color="auto" w:sz="8" w:space="0"/>
              <w:left w:val="nil"/>
              <w:bottom w:val="single" w:color="auto" w:sz="8" w:space="0"/>
              <w:right w:val="single" w:color="auto" w:sz="8" w:space="0"/>
            </w:tcBorders>
            <w:noWrap/>
            <w:vAlign w:val="center"/>
          </w:tcPr>
          <w:p w14:paraId="58D52614">
            <w:pPr>
              <w:suppressAutoHyphens w:val="0"/>
              <w:rPr>
                <w:rFonts w:ascii="Arial" w:hAnsi="Arial" w:cs="Arial"/>
                <w:b/>
                <w:bCs/>
                <w:color w:val="000000"/>
                <w:lang w:eastAsia="pt-BR"/>
              </w:rPr>
            </w:pPr>
            <w:r>
              <w:rPr>
                <w:rFonts w:ascii="Arial" w:hAnsi="Arial" w:cs="Arial"/>
                <w:b/>
                <w:bCs/>
                <w:color w:val="000000"/>
                <w:lang w:eastAsia="pt-BR"/>
              </w:rPr>
              <w:t>QUANT</w:t>
            </w:r>
          </w:p>
        </w:tc>
        <w:tc>
          <w:tcPr>
            <w:tcW w:w="3280" w:type="dxa"/>
            <w:tcBorders>
              <w:top w:val="single" w:color="auto" w:sz="8" w:space="0"/>
              <w:left w:val="nil"/>
              <w:bottom w:val="single" w:color="auto" w:sz="8" w:space="0"/>
              <w:right w:val="single" w:color="auto" w:sz="8" w:space="0"/>
            </w:tcBorders>
            <w:noWrap/>
            <w:vAlign w:val="center"/>
          </w:tcPr>
          <w:p w14:paraId="3EB68DDF">
            <w:pPr>
              <w:suppressAutoHyphens w:val="0"/>
              <w:rPr>
                <w:rFonts w:ascii="Arial" w:hAnsi="Arial" w:cs="Arial"/>
                <w:b/>
                <w:bCs/>
                <w:color w:val="000000"/>
                <w:lang w:eastAsia="pt-BR"/>
              </w:rPr>
            </w:pPr>
            <w:r>
              <w:rPr>
                <w:rFonts w:ascii="Arial" w:hAnsi="Arial" w:cs="Arial"/>
                <w:b/>
                <w:bCs/>
                <w:color w:val="000000"/>
                <w:lang w:eastAsia="pt-BR"/>
              </w:rPr>
              <w:t>NOME DO PRODUTO</w:t>
            </w:r>
          </w:p>
        </w:tc>
        <w:tc>
          <w:tcPr>
            <w:tcW w:w="1720" w:type="dxa"/>
            <w:tcBorders>
              <w:top w:val="single" w:color="auto" w:sz="8" w:space="0"/>
              <w:left w:val="nil"/>
              <w:bottom w:val="single" w:color="auto" w:sz="8" w:space="0"/>
              <w:right w:val="single" w:color="auto" w:sz="8" w:space="0"/>
            </w:tcBorders>
            <w:noWrap/>
            <w:vAlign w:val="center"/>
          </w:tcPr>
          <w:p w14:paraId="6D7AAFD5">
            <w:pPr>
              <w:suppressAutoHyphens w:val="0"/>
              <w:rPr>
                <w:rFonts w:hint="default" w:ascii="Arial" w:hAnsi="Arial" w:cs="Arial"/>
                <w:b/>
                <w:bCs/>
                <w:color w:val="000000"/>
                <w:lang w:val="en-US" w:eastAsia="pt-BR"/>
              </w:rPr>
            </w:pPr>
            <w:r>
              <w:rPr>
                <w:rFonts w:ascii="Arial" w:hAnsi="Arial" w:cs="Arial"/>
                <w:b/>
                <w:bCs/>
                <w:color w:val="000000"/>
                <w:lang w:eastAsia="pt-BR"/>
              </w:rPr>
              <w:t xml:space="preserve">VALOR </w:t>
            </w:r>
            <w:r>
              <w:rPr>
                <w:rFonts w:hint="default" w:ascii="Arial" w:hAnsi="Arial" w:cs="Arial"/>
                <w:b/>
                <w:bCs/>
                <w:color w:val="000000"/>
                <w:lang w:val="en-US" w:eastAsia="pt-BR"/>
              </w:rPr>
              <w:t>MENSAL</w:t>
            </w:r>
          </w:p>
        </w:tc>
        <w:tc>
          <w:tcPr>
            <w:tcW w:w="1380" w:type="dxa"/>
            <w:tcBorders>
              <w:top w:val="single" w:color="auto" w:sz="8" w:space="0"/>
              <w:left w:val="nil"/>
              <w:bottom w:val="single" w:color="auto" w:sz="8" w:space="0"/>
              <w:right w:val="single" w:color="auto" w:sz="8" w:space="0"/>
            </w:tcBorders>
            <w:noWrap/>
            <w:vAlign w:val="center"/>
          </w:tcPr>
          <w:p w14:paraId="081DB422">
            <w:pPr>
              <w:suppressAutoHyphens w:val="0"/>
              <w:rPr>
                <w:rFonts w:ascii="Arial" w:hAnsi="Arial" w:cs="Arial"/>
                <w:b/>
                <w:bCs/>
                <w:color w:val="000000"/>
                <w:lang w:eastAsia="pt-BR"/>
              </w:rPr>
            </w:pPr>
            <w:r>
              <w:rPr>
                <w:rFonts w:ascii="Arial" w:hAnsi="Arial" w:cs="Arial"/>
                <w:b/>
                <w:bCs/>
                <w:color w:val="000000"/>
                <w:lang w:eastAsia="pt-BR"/>
              </w:rPr>
              <w:t>VALOR TOTAL</w:t>
            </w:r>
          </w:p>
        </w:tc>
      </w:tr>
      <w:tr w14:paraId="76F40C1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noWrap/>
            <w:vAlign w:val="center"/>
          </w:tcPr>
          <w:p w14:paraId="3A51390F">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nil"/>
              <w:left w:val="nil"/>
              <w:bottom w:val="single" w:color="auto" w:sz="8" w:space="0"/>
              <w:right w:val="single" w:color="auto" w:sz="8" w:space="0"/>
            </w:tcBorders>
            <w:noWrap/>
            <w:vAlign w:val="center"/>
          </w:tcPr>
          <w:p w14:paraId="3E755A15">
            <w:pPr>
              <w:suppressAutoHyphens w:val="0"/>
              <w:rPr>
                <w:rFonts w:ascii="Arial" w:hAnsi="Arial" w:cs="Arial"/>
                <w:color w:val="000000"/>
                <w:lang w:eastAsia="pt-BR"/>
              </w:rPr>
            </w:pPr>
            <w:r>
              <w:rPr>
                <w:rFonts w:ascii="Arial" w:hAnsi="Arial" w:cs="Arial"/>
                <w:color w:val="000000"/>
                <w:lang w:eastAsia="pt-BR"/>
              </w:rPr>
              <w:t>MÊS</w:t>
            </w:r>
          </w:p>
        </w:tc>
        <w:tc>
          <w:tcPr>
            <w:tcW w:w="960" w:type="dxa"/>
            <w:tcBorders>
              <w:top w:val="nil"/>
              <w:left w:val="nil"/>
              <w:bottom w:val="single" w:color="auto" w:sz="8" w:space="0"/>
              <w:right w:val="single" w:color="auto" w:sz="8" w:space="0"/>
            </w:tcBorders>
            <w:noWrap/>
            <w:vAlign w:val="center"/>
          </w:tcPr>
          <w:p w14:paraId="5C1058FE">
            <w:pPr>
              <w:suppressAutoHyphens w:val="0"/>
              <w:jc w:val="right"/>
              <w:rPr>
                <w:rFonts w:ascii="Arial" w:hAnsi="Arial" w:cs="Arial"/>
                <w:color w:val="000000"/>
                <w:lang w:eastAsia="pt-BR"/>
              </w:rPr>
            </w:pPr>
            <w:r>
              <w:rPr>
                <w:rFonts w:ascii="Arial" w:hAnsi="Arial" w:cs="Arial"/>
                <w:color w:val="000000"/>
                <w:lang w:eastAsia="pt-BR"/>
              </w:rPr>
              <w:t>6</w:t>
            </w:r>
          </w:p>
        </w:tc>
        <w:tc>
          <w:tcPr>
            <w:tcW w:w="3280" w:type="dxa"/>
            <w:tcBorders>
              <w:top w:val="nil"/>
              <w:left w:val="nil"/>
              <w:bottom w:val="single" w:color="auto" w:sz="8" w:space="0"/>
              <w:right w:val="single" w:color="auto" w:sz="8" w:space="0"/>
            </w:tcBorders>
            <w:noWrap/>
            <w:vAlign w:val="center"/>
          </w:tcPr>
          <w:p w14:paraId="4987DFE5">
            <w:pPr>
              <w:suppressAutoHyphens w:val="0"/>
              <w:rPr>
                <w:rFonts w:ascii="Arial" w:hAnsi="Arial" w:cs="Arial"/>
                <w:color w:val="000000"/>
                <w:lang w:eastAsia="pt-BR"/>
              </w:rPr>
            </w:pPr>
            <w:r>
              <w:rPr>
                <w:rFonts w:ascii="Arial" w:hAnsi="Arial" w:cs="Arial"/>
                <w:color w:val="000000"/>
                <w:lang w:eastAsia="pt-BR"/>
              </w:rPr>
              <w:t xml:space="preserve">CONSULTORIA SOBRE TRATAMENTO E CUIDADOS DOMICILIARES EM FERIDAS E LESÕES PARA ESPECIALIZAÇÃO DE PROFISSIONAIS DA SÁUDE </w:t>
            </w:r>
          </w:p>
        </w:tc>
        <w:tc>
          <w:tcPr>
            <w:tcW w:w="1720" w:type="dxa"/>
            <w:tcBorders>
              <w:top w:val="nil"/>
              <w:left w:val="nil"/>
              <w:bottom w:val="single" w:color="auto" w:sz="8" w:space="0"/>
              <w:right w:val="single" w:color="auto" w:sz="8" w:space="0"/>
            </w:tcBorders>
            <w:noWrap/>
            <w:vAlign w:val="center"/>
          </w:tcPr>
          <w:p w14:paraId="322EE1C4">
            <w:pPr>
              <w:suppressAutoHyphens w:val="0"/>
              <w:jc w:val="right"/>
              <w:rPr>
                <w:rFonts w:ascii="Arial" w:hAnsi="Arial" w:cs="Arial"/>
                <w:color w:val="000000"/>
                <w:lang w:eastAsia="pt-BR"/>
              </w:rPr>
            </w:pPr>
            <w:r>
              <w:rPr>
                <w:rFonts w:ascii="Arial" w:hAnsi="Arial" w:cs="Arial"/>
                <w:color w:val="000000"/>
                <w:lang w:eastAsia="pt-BR"/>
              </w:rPr>
              <w:t xml:space="preserve">R$ </w:t>
            </w:r>
          </w:p>
        </w:tc>
        <w:tc>
          <w:tcPr>
            <w:tcW w:w="1380" w:type="dxa"/>
            <w:tcBorders>
              <w:top w:val="nil"/>
              <w:left w:val="nil"/>
              <w:bottom w:val="single" w:color="auto" w:sz="8" w:space="0"/>
              <w:right w:val="single" w:color="auto" w:sz="8" w:space="0"/>
            </w:tcBorders>
            <w:noWrap/>
            <w:vAlign w:val="center"/>
          </w:tcPr>
          <w:p w14:paraId="6BDDAC6A">
            <w:pPr>
              <w:suppressAutoHyphens w:val="0"/>
              <w:jc w:val="right"/>
              <w:rPr>
                <w:rFonts w:ascii="Arial" w:hAnsi="Arial" w:cs="Arial"/>
                <w:color w:val="000000"/>
                <w:lang w:eastAsia="pt-BR"/>
              </w:rPr>
            </w:pPr>
            <w:r>
              <w:rPr>
                <w:rFonts w:ascii="Arial" w:hAnsi="Arial" w:cs="Arial"/>
                <w:color w:val="000000"/>
                <w:lang w:eastAsia="pt-BR"/>
              </w:rPr>
              <w:t xml:space="preserve">R$ </w:t>
            </w:r>
          </w:p>
        </w:tc>
      </w:tr>
    </w:tbl>
    <w:p w14:paraId="49E39432">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 xml:space="preserve">VALOR </w:t>
      </w:r>
      <w:r>
        <w:rPr>
          <w:rFonts w:hint="default" w:ascii="Arial" w:hAnsi="Arial" w:cs="Arial"/>
          <w:bCs/>
          <w:sz w:val="24"/>
          <w:szCs w:val="24"/>
          <w:highlight w:val="yellow"/>
          <w:lang w:val="pt-BR"/>
        </w:rPr>
        <w:t>GLOBAL</w:t>
      </w:r>
      <w:r>
        <w:rPr>
          <w:rFonts w:ascii="Arial" w:hAnsi="Arial" w:cs="Arial"/>
          <w:bCs/>
          <w:sz w:val="24"/>
          <w:szCs w:val="24"/>
          <w:highlight w:val="yellow"/>
          <w:lang w:val="pt-BR"/>
        </w:rPr>
        <w:t xml:space="preserve"> DA PROPOSTA:</w:t>
      </w:r>
    </w:p>
    <w:p w14:paraId="0A976885">
      <w:pPr>
        <w:pStyle w:val="9"/>
        <w:rPr>
          <w:b/>
          <w:bCs/>
          <w:lang w:val="pt-BR"/>
        </w:rPr>
      </w:pPr>
      <w:r>
        <w:rPr>
          <w:b/>
          <w:bCs/>
        </w:rPr>
        <w:t>OBJETO :</w:t>
      </w:r>
      <w:r>
        <w:rPr>
          <w:b/>
          <w:bCs/>
          <w:w w:val="110"/>
        </w:rPr>
        <w:t xml:space="preserve"> </w:t>
      </w:r>
      <w:r>
        <w:rPr>
          <w:b/>
          <w:bCs/>
          <w:w w:val="115"/>
        </w:rPr>
        <w:t xml:space="preserve"> </w:t>
      </w:r>
      <w:r>
        <w:rPr>
          <w:b/>
          <w:bCs/>
        </w:rPr>
        <w:t xml:space="preserve">   </w:t>
      </w:r>
      <w:r>
        <w:rPr>
          <w:rFonts w:hint="default"/>
          <w:b/>
          <w:bCs/>
          <w:lang w:val="pt-BR"/>
        </w:rPr>
        <w:t xml:space="preserve">REFERENTE A CONTRATAÇÃO DE EMPRESA ESPECIALIZADA EM CONSULTORIA SOBRE TRATAMENTO E CUIDADO EM FERIDAS E LESÕES PARA ESPECIALIZAÇÃO DE PROFISSIONAIS DA SAÚDE </w:t>
      </w:r>
    </w:p>
    <w:p w14:paraId="6D91684B">
      <w:pPr>
        <w:pStyle w:val="9"/>
        <w:jc w:val="both"/>
        <w:rPr>
          <w:w w:val="110"/>
          <w:lang w:val="pt-BR"/>
        </w:rPr>
      </w:pP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9"/>
        <w:spacing w:before="11"/>
      </w:pPr>
    </w:p>
    <w:p w14:paraId="090B6054">
      <w:pPr>
        <w:pStyle w:val="9"/>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9"/>
      </w:pPr>
    </w:p>
    <w:p w14:paraId="5687D7C3">
      <w:pPr>
        <w:pStyle w:val="9"/>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9"/>
      </w:pPr>
      <w:r>
        <w:t>Razão</w:t>
      </w:r>
      <w:r>
        <w:rPr>
          <w:spacing w:val="-1"/>
        </w:rPr>
        <w:t xml:space="preserve"> </w:t>
      </w:r>
      <w:r>
        <w:t>social</w:t>
      </w:r>
      <w:r>
        <w:rPr>
          <w:spacing w:val="4"/>
        </w:rPr>
        <w:t xml:space="preserve"> </w:t>
      </w:r>
      <w:r>
        <w:t>–</w:t>
      </w:r>
    </w:p>
    <w:p w14:paraId="5AD83D55">
      <w:pPr>
        <w:pStyle w:val="9"/>
      </w:pPr>
      <w:r>
        <w:rPr>
          <w:spacing w:val="2"/>
        </w:rPr>
        <w:t xml:space="preserve"> </w:t>
      </w:r>
      <w:r>
        <w:t>nº</w:t>
      </w:r>
      <w:r>
        <w:rPr>
          <w:spacing w:val="-5"/>
        </w:rPr>
        <w:t xml:space="preserve"> </w:t>
      </w:r>
      <w:r>
        <w:t>do</w:t>
      </w:r>
      <w:r>
        <w:rPr>
          <w:spacing w:val="-1"/>
        </w:rPr>
        <w:t xml:space="preserve"> </w:t>
      </w:r>
      <w:r>
        <w:t>cnpj:</w:t>
      </w:r>
    </w:p>
    <w:p w14:paraId="34B5C557">
      <w:pPr>
        <w:pStyle w:val="9"/>
        <w:spacing w:before="44"/>
      </w:pPr>
      <w:r>
        <w:t>endereço:</w:t>
      </w:r>
    </w:p>
    <w:p w14:paraId="3C605DD1">
      <w:pPr>
        <w:pStyle w:val="9"/>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9"/>
        <w:tabs>
          <w:tab w:val="left" w:pos="2357"/>
          <w:tab w:val="left" w:pos="4753"/>
          <w:tab w:val="left" w:pos="5863"/>
        </w:tabs>
      </w:pPr>
    </w:p>
    <w:p w14:paraId="77853966">
      <w:pPr>
        <w:pStyle w:val="9"/>
        <w:tabs>
          <w:tab w:val="left" w:pos="2357"/>
          <w:tab w:val="left" w:pos="4753"/>
          <w:tab w:val="left" w:pos="5863"/>
        </w:tabs>
      </w:pPr>
    </w:p>
    <w:p w14:paraId="4CF7F497">
      <w:pPr>
        <w:pStyle w:val="9"/>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5F6F2C7B">
      <w:pPr>
        <w:pStyle w:val="9"/>
        <w:tabs>
          <w:tab w:val="left" w:pos="2357"/>
          <w:tab w:val="left" w:pos="4753"/>
          <w:tab w:val="left" w:pos="5863"/>
        </w:tabs>
      </w:pPr>
    </w:p>
    <w:p w14:paraId="71272C83">
      <w:pPr>
        <w:pStyle w:val="9"/>
        <w:tabs>
          <w:tab w:val="left" w:pos="2357"/>
          <w:tab w:val="left" w:pos="4753"/>
          <w:tab w:val="left" w:pos="5863"/>
        </w:tabs>
      </w:pPr>
    </w:p>
    <w:p w14:paraId="06E38A64">
      <w:pPr>
        <w:pStyle w:val="9"/>
        <w:spacing w:before="3"/>
        <w:jc w:val="center"/>
      </w:pPr>
      <w:r>
        <w:rPr>
          <w:lang w:val="pt-BR" w:eastAsia="pt-BR"/>
        </w:rPr>
        <mc:AlternateContent>
          <mc:Choice Requires="wps">
            <w:drawing>
              <wp:anchor distT="0" distB="0" distL="0" distR="0" simplePos="0" relativeHeight="251675648"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4083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9"/>
        <w:spacing w:before="3"/>
        <w:jc w:val="center"/>
      </w:pPr>
    </w:p>
    <w:p w14:paraId="6A422E94">
      <w:pPr>
        <w:pStyle w:val="9"/>
        <w:spacing w:before="3"/>
        <w:jc w:val="center"/>
      </w:pPr>
    </w:p>
    <w:p w14:paraId="0801C40D">
      <w:pPr>
        <w:pStyle w:val="20"/>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6CAE9DC">
      <w:pPr>
        <w:pStyle w:val="20"/>
        <w:jc w:val="both"/>
        <w:rPr>
          <w:rFonts w:ascii="Calibri Light" w:hAnsi="Calibri Light" w:cs="Calibri Light"/>
          <w:b/>
          <w:bCs/>
          <w:sz w:val="20"/>
          <w:szCs w:val="20"/>
        </w:rPr>
      </w:pPr>
    </w:p>
    <w:p w14:paraId="717A6D2B">
      <w:pPr>
        <w:pStyle w:val="20"/>
        <w:jc w:val="both"/>
        <w:rPr>
          <w:rFonts w:ascii="Calibri Light" w:hAnsi="Calibri Light" w:cs="Calibri Light"/>
          <w:b/>
          <w:bCs/>
          <w:sz w:val="20"/>
          <w:szCs w:val="20"/>
        </w:rPr>
      </w:pPr>
    </w:p>
    <w:p w14:paraId="00BAF912">
      <w:pPr>
        <w:pStyle w:val="20"/>
        <w:jc w:val="both"/>
        <w:rPr>
          <w:rFonts w:ascii="Calibri Light" w:hAnsi="Calibri Light" w:cs="Calibri Light"/>
          <w:b/>
          <w:bCs/>
          <w:sz w:val="20"/>
          <w:szCs w:val="20"/>
        </w:rPr>
      </w:pPr>
    </w:p>
    <w:p w14:paraId="1FF1D120">
      <w:pPr>
        <w:pStyle w:val="20"/>
        <w:jc w:val="both"/>
        <w:rPr>
          <w:rFonts w:ascii="Calibri Light" w:hAnsi="Calibri Light" w:cs="Calibri Light"/>
          <w:b/>
          <w:bCs/>
          <w:sz w:val="20"/>
          <w:szCs w:val="20"/>
        </w:rPr>
      </w:pPr>
    </w:p>
    <w:p w14:paraId="1AF08B33">
      <w:pPr>
        <w:pStyle w:val="20"/>
        <w:jc w:val="both"/>
        <w:rPr>
          <w:rFonts w:ascii="Calibri Light" w:hAnsi="Calibri Light" w:cs="Calibri Light"/>
          <w:b/>
          <w:bCs/>
          <w:sz w:val="20"/>
          <w:szCs w:val="20"/>
        </w:rPr>
      </w:pPr>
    </w:p>
    <w:p w14:paraId="43BE447D">
      <w:pPr>
        <w:pStyle w:val="20"/>
        <w:jc w:val="both"/>
        <w:rPr>
          <w:rFonts w:ascii="Calibri Light" w:hAnsi="Calibri Light" w:cs="Calibri Light"/>
          <w:b/>
          <w:bCs/>
          <w:sz w:val="20"/>
          <w:szCs w:val="20"/>
        </w:rPr>
      </w:pPr>
    </w:p>
    <w:p w14:paraId="7556548F">
      <w:pPr>
        <w:pStyle w:val="20"/>
        <w:jc w:val="both"/>
        <w:rPr>
          <w:rFonts w:ascii="Calibri Light" w:hAnsi="Calibri Light" w:cs="Calibri Light"/>
          <w:b/>
          <w:bCs/>
          <w:sz w:val="20"/>
          <w:szCs w:val="20"/>
        </w:rPr>
      </w:pPr>
    </w:p>
    <w:p w14:paraId="0BF6FA66">
      <w:pPr>
        <w:pStyle w:val="20"/>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20"/>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PROCESSO Nº. 3</w:t>
      </w:r>
      <w:r>
        <w:rPr>
          <w:rFonts w:hint="default" w:ascii="Calibri Light" w:hAnsi="Calibri Light" w:cs="Calibri Light"/>
          <w:b/>
          <w:bCs/>
          <w:lang w:val="pt-BR"/>
        </w:rPr>
        <w:t>68</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23</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9"/>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6"/>
        <w:widowControl/>
        <w:numPr>
          <w:ilvl w:val="1"/>
          <w:numId w:val="15"/>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6"/>
        <w:widowControl/>
        <w:numPr>
          <w:ilvl w:val="1"/>
          <w:numId w:val="15"/>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1"/>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2"/>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6"/>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5"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5"/>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6"/>
        <w:widowControl/>
        <w:numPr>
          <w:ilvl w:val="1"/>
          <w:numId w:val="17"/>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6"/>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6"/>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6"/>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6"/>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6"/>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6"/>
        <w:numPr>
          <w:ilvl w:val="1"/>
          <w:numId w:val="19"/>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20"/>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20"/>
        <w:jc w:val="both"/>
        <w:rPr>
          <w:rFonts w:ascii="Calibri Light" w:hAnsi="Calibri Light" w:eastAsia="Arial MT" w:cs="Calibri Light"/>
          <w:sz w:val="20"/>
          <w:szCs w:val="20"/>
          <w:lang w:val="pt-PT"/>
        </w:rPr>
      </w:pPr>
    </w:p>
    <w:p w14:paraId="092D7490">
      <w:pPr>
        <w:pStyle w:val="20"/>
        <w:jc w:val="both"/>
        <w:rPr>
          <w:rFonts w:ascii="Calibri Light" w:hAnsi="Calibri Light" w:eastAsia="Arial MT" w:cs="Calibri Light"/>
          <w:sz w:val="20"/>
          <w:szCs w:val="20"/>
          <w:lang w:val="pt-PT"/>
        </w:rPr>
      </w:pPr>
    </w:p>
    <w:p w14:paraId="2FDD6918">
      <w:pPr>
        <w:pStyle w:val="20"/>
        <w:jc w:val="both"/>
        <w:rPr>
          <w:rFonts w:ascii="Calibri Light" w:hAnsi="Calibri Light" w:eastAsia="Arial MT" w:cs="Calibri Light"/>
          <w:sz w:val="20"/>
          <w:szCs w:val="20"/>
          <w:lang w:val="pt-PT"/>
        </w:rPr>
      </w:pPr>
    </w:p>
    <w:p w14:paraId="5C157AB6">
      <w:pPr>
        <w:pStyle w:val="20"/>
        <w:jc w:val="both"/>
        <w:rPr>
          <w:rFonts w:ascii="Calibri Light" w:hAnsi="Calibri Light" w:eastAsia="Arial MT" w:cs="Calibri Light"/>
          <w:sz w:val="20"/>
          <w:szCs w:val="20"/>
          <w:lang w:val="pt-PT"/>
        </w:rPr>
      </w:pPr>
    </w:p>
    <w:p w14:paraId="08F93598">
      <w:pPr>
        <w:pStyle w:val="20"/>
        <w:jc w:val="center"/>
        <w:rPr>
          <w:rFonts w:ascii="Times New Roman" w:hAnsi="Times New Roman" w:eastAsia="Arial"/>
          <w:b/>
          <w:sz w:val="24"/>
          <w:szCs w:val="24"/>
          <w:lang w:val="pt-PT"/>
        </w:rPr>
      </w:pPr>
    </w:p>
    <w:p w14:paraId="66A47AF8">
      <w:pPr>
        <w:pStyle w:val="20"/>
        <w:jc w:val="center"/>
        <w:rPr>
          <w:rFonts w:ascii="Times New Roman" w:hAnsi="Times New Roman" w:eastAsia="Arial"/>
          <w:b/>
          <w:sz w:val="24"/>
          <w:szCs w:val="24"/>
          <w:lang w:val="pt-PT"/>
        </w:rPr>
      </w:pPr>
    </w:p>
    <w:p w14:paraId="415966F5">
      <w:pPr>
        <w:pStyle w:val="20"/>
        <w:jc w:val="center"/>
        <w:rPr>
          <w:rFonts w:ascii="Times New Roman" w:hAnsi="Times New Roman" w:eastAsia="Arial"/>
          <w:b/>
          <w:sz w:val="24"/>
          <w:szCs w:val="24"/>
          <w:lang w:val="pt-PT"/>
        </w:rPr>
      </w:pPr>
    </w:p>
    <w:p w14:paraId="5306875F">
      <w:pPr>
        <w:pStyle w:val="20"/>
        <w:jc w:val="center"/>
        <w:rPr>
          <w:rFonts w:ascii="Times New Roman" w:hAnsi="Times New Roman" w:eastAsia="Arial"/>
          <w:b/>
          <w:sz w:val="24"/>
          <w:szCs w:val="24"/>
          <w:lang w:val="pt-PT"/>
        </w:rPr>
      </w:pPr>
    </w:p>
    <w:p w14:paraId="5C0C4D6D">
      <w:pPr>
        <w:pStyle w:val="20"/>
        <w:jc w:val="center"/>
        <w:rPr>
          <w:rFonts w:ascii="Times New Roman" w:hAnsi="Times New Roman" w:eastAsia="Arial"/>
          <w:b/>
          <w:sz w:val="24"/>
          <w:szCs w:val="24"/>
          <w:lang w:val="pt-PT"/>
        </w:rPr>
      </w:pPr>
    </w:p>
    <w:p w14:paraId="4FC8F442">
      <w:pPr>
        <w:pStyle w:val="20"/>
        <w:jc w:val="center"/>
        <w:rPr>
          <w:rFonts w:ascii="Times New Roman" w:hAnsi="Times New Roman" w:eastAsia="Arial"/>
          <w:b/>
          <w:sz w:val="24"/>
          <w:szCs w:val="24"/>
          <w:lang w:val="pt-PT"/>
        </w:rPr>
      </w:pPr>
    </w:p>
    <w:p w14:paraId="01A3ECF9">
      <w:pPr>
        <w:pStyle w:val="20"/>
        <w:jc w:val="center"/>
        <w:rPr>
          <w:rFonts w:ascii="Times New Roman" w:hAnsi="Times New Roman" w:eastAsia="Arial"/>
          <w:b/>
          <w:sz w:val="24"/>
          <w:szCs w:val="24"/>
          <w:lang w:val="pt-PT"/>
        </w:rPr>
      </w:pPr>
    </w:p>
    <w:p w14:paraId="7B7B962B">
      <w:pPr>
        <w:pStyle w:val="20"/>
        <w:jc w:val="center"/>
        <w:rPr>
          <w:rFonts w:ascii="Times New Roman" w:hAnsi="Times New Roman" w:eastAsia="Arial"/>
          <w:b/>
          <w:sz w:val="24"/>
          <w:szCs w:val="24"/>
          <w:lang w:val="pt-PT"/>
        </w:rPr>
      </w:pPr>
    </w:p>
    <w:p w14:paraId="47517757">
      <w:pPr>
        <w:pStyle w:val="20"/>
        <w:jc w:val="center"/>
        <w:rPr>
          <w:rFonts w:ascii="Times New Roman" w:hAnsi="Times New Roman" w:eastAsia="Arial"/>
          <w:b/>
          <w:sz w:val="24"/>
          <w:szCs w:val="24"/>
          <w:lang w:val="pt-PT"/>
        </w:rPr>
      </w:pPr>
    </w:p>
    <w:p w14:paraId="2DA04881">
      <w:pPr>
        <w:pStyle w:val="20"/>
        <w:jc w:val="center"/>
        <w:rPr>
          <w:rFonts w:ascii="Times New Roman" w:hAnsi="Times New Roman" w:eastAsia="Arial"/>
          <w:b/>
          <w:sz w:val="24"/>
          <w:szCs w:val="24"/>
          <w:lang w:val="pt-PT"/>
        </w:rPr>
      </w:pPr>
    </w:p>
    <w:p w14:paraId="428B4AFF">
      <w:pPr>
        <w:pStyle w:val="20"/>
        <w:jc w:val="center"/>
        <w:rPr>
          <w:rFonts w:ascii="Times New Roman" w:hAnsi="Times New Roman" w:eastAsia="Arial"/>
          <w:b/>
          <w:sz w:val="24"/>
          <w:szCs w:val="24"/>
          <w:lang w:val="pt-PT"/>
        </w:rPr>
      </w:pPr>
    </w:p>
    <w:p w14:paraId="77BA0AD9">
      <w:pPr>
        <w:pStyle w:val="20"/>
        <w:jc w:val="center"/>
        <w:rPr>
          <w:rFonts w:ascii="Times New Roman" w:hAnsi="Times New Roman" w:eastAsia="Arial"/>
          <w:b/>
          <w:sz w:val="24"/>
          <w:szCs w:val="24"/>
          <w:lang w:val="pt-PT"/>
        </w:rPr>
      </w:pPr>
    </w:p>
    <w:p w14:paraId="2D1672D9">
      <w:pPr>
        <w:pStyle w:val="20"/>
        <w:jc w:val="center"/>
        <w:rPr>
          <w:rFonts w:ascii="Times New Roman" w:hAnsi="Times New Roman" w:eastAsia="Arial"/>
          <w:b/>
          <w:sz w:val="24"/>
          <w:szCs w:val="24"/>
          <w:lang w:val="pt-PT"/>
        </w:rPr>
      </w:pPr>
    </w:p>
    <w:p w14:paraId="391C078D">
      <w:pPr>
        <w:pStyle w:val="20"/>
        <w:jc w:val="center"/>
        <w:rPr>
          <w:rFonts w:ascii="Times New Roman" w:hAnsi="Times New Roman" w:eastAsia="Arial"/>
          <w:b/>
          <w:sz w:val="24"/>
          <w:szCs w:val="24"/>
          <w:lang w:val="pt-PT"/>
        </w:rPr>
      </w:pPr>
    </w:p>
    <w:p w14:paraId="4C17CF3E">
      <w:pPr>
        <w:pStyle w:val="20"/>
        <w:jc w:val="center"/>
        <w:rPr>
          <w:rFonts w:ascii="Times New Roman" w:hAnsi="Times New Roman" w:eastAsia="Arial"/>
          <w:b/>
          <w:sz w:val="24"/>
          <w:szCs w:val="24"/>
          <w:lang w:val="pt-PT"/>
        </w:rPr>
      </w:pPr>
    </w:p>
    <w:p w14:paraId="66364544">
      <w:pPr>
        <w:pStyle w:val="20"/>
        <w:jc w:val="center"/>
        <w:rPr>
          <w:rFonts w:ascii="Times New Roman" w:hAnsi="Times New Roman" w:eastAsia="Arial"/>
          <w:b/>
          <w:sz w:val="24"/>
          <w:szCs w:val="24"/>
          <w:lang w:val="pt-PT"/>
        </w:rPr>
      </w:pPr>
    </w:p>
    <w:p w14:paraId="6B58C4A1">
      <w:pPr>
        <w:pStyle w:val="20"/>
        <w:jc w:val="center"/>
        <w:rPr>
          <w:rFonts w:ascii="Times New Roman" w:hAnsi="Times New Roman" w:eastAsia="Arial"/>
          <w:b/>
          <w:sz w:val="24"/>
          <w:szCs w:val="24"/>
          <w:lang w:val="pt-PT"/>
        </w:rPr>
      </w:pPr>
    </w:p>
    <w:p w14:paraId="760741A1">
      <w:pPr>
        <w:pStyle w:val="20"/>
        <w:jc w:val="center"/>
        <w:rPr>
          <w:rFonts w:ascii="Times New Roman" w:hAnsi="Times New Roman" w:eastAsia="Arial"/>
          <w:b/>
          <w:sz w:val="24"/>
          <w:szCs w:val="24"/>
          <w:lang w:val="pt-PT"/>
        </w:rPr>
      </w:pPr>
    </w:p>
    <w:p w14:paraId="68B9CBB1">
      <w:pPr>
        <w:pStyle w:val="20"/>
        <w:jc w:val="center"/>
        <w:rPr>
          <w:rFonts w:ascii="Times New Roman" w:hAnsi="Times New Roman" w:eastAsia="Arial"/>
          <w:b/>
          <w:sz w:val="24"/>
          <w:szCs w:val="24"/>
          <w:lang w:val="pt-PT"/>
        </w:rPr>
      </w:pPr>
    </w:p>
    <w:p w14:paraId="189B3837">
      <w:pPr>
        <w:pStyle w:val="20"/>
        <w:jc w:val="center"/>
        <w:rPr>
          <w:rFonts w:ascii="Times New Roman" w:hAnsi="Times New Roman" w:eastAsia="Arial"/>
          <w:b/>
          <w:sz w:val="24"/>
          <w:szCs w:val="24"/>
          <w:lang w:val="pt-PT"/>
        </w:rPr>
      </w:pPr>
    </w:p>
    <w:p w14:paraId="568B1562">
      <w:pPr>
        <w:pStyle w:val="20"/>
        <w:jc w:val="center"/>
        <w:rPr>
          <w:rFonts w:ascii="Times New Roman" w:hAnsi="Times New Roman" w:eastAsia="Arial"/>
          <w:b/>
          <w:sz w:val="24"/>
          <w:szCs w:val="24"/>
          <w:lang w:val="pt-PT"/>
        </w:rPr>
      </w:pPr>
    </w:p>
    <w:p w14:paraId="66860C4A">
      <w:pPr>
        <w:pStyle w:val="20"/>
        <w:jc w:val="center"/>
        <w:rPr>
          <w:rFonts w:ascii="Times New Roman" w:hAnsi="Times New Roman" w:eastAsia="Arial"/>
          <w:b/>
          <w:sz w:val="24"/>
          <w:szCs w:val="24"/>
          <w:lang w:val="pt-PT"/>
        </w:rPr>
      </w:pPr>
    </w:p>
    <w:p w14:paraId="7DB44EAC">
      <w:pPr>
        <w:pStyle w:val="20"/>
        <w:jc w:val="center"/>
        <w:rPr>
          <w:rFonts w:ascii="Times New Roman" w:hAnsi="Times New Roman" w:eastAsia="Arial"/>
          <w:b/>
          <w:sz w:val="24"/>
          <w:szCs w:val="24"/>
          <w:lang w:val="pt-PT"/>
        </w:rPr>
      </w:pPr>
    </w:p>
    <w:p w14:paraId="238B00B1">
      <w:pPr>
        <w:pStyle w:val="20"/>
        <w:jc w:val="center"/>
        <w:rPr>
          <w:rFonts w:ascii="Times New Roman" w:hAnsi="Times New Roman" w:eastAsia="Arial"/>
          <w:b/>
          <w:sz w:val="24"/>
          <w:szCs w:val="24"/>
          <w:lang w:val="pt-PT"/>
        </w:rPr>
      </w:pPr>
    </w:p>
    <w:p w14:paraId="5766DA98">
      <w:pPr>
        <w:pStyle w:val="20"/>
        <w:jc w:val="center"/>
        <w:rPr>
          <w:rFonts w:ascii="Times New Roman" w:hAnsi="Times New Roman" w:eastAsia="Arial"/>
          <w:b/>
          <w:sz w:val="24"/>
          <w:szCs w:val="24"/>
          <w:lang w:val="pt-PT"/>
        </w:rPr>
      </w:pPr>
    </w:p>
    <w:p w14:paraId="3F116C69">
      <w:pPr>
        <w:pStyle w:val="20"/>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23</w:t>
      </w:r>
      <w:r>
        <w:rPr>
          <w:rFonts w:eastAsia="Arial"/>
          <w:sz w:val="24"/>
          <w:szCs w:val="24"/>
        </w:rPr>
        <w:t>/2025  PROCESSO N°3</w:t>
      </w:r>
      <w:r>
        <w:rPr>
          <w:rFonts w:hint="default" w:eastAsia="Arial"/>
          <w:sz w:val="24"/>
          <w:szCs w:val="24"/>
          <w:lang w:val="pt-BR"/>
        </w:rPr>
        <w:t>68/</w:t>
      </w:r>
      <w:bookmarkStart w:id="7" w:name="_GoBack"/>
      <w:bookmarkEnd w:id="7"/>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4C2909BE">
      <w:pPr>
        <w:spacing w:line="480" w:lineRule="auto"/>
        <w:jc w:val="both"/>
        <w:rPr>
          <w:b/>
          <w:sz w:val="26"/>
          <w:szCs w:val="26"/>
          <w:lang w:eastAsia="pt-BR"/>
        </w:rPr>
      </w:pPr>
      <w:r>
        <w:rPr>
          <w:b/>
          <w:sz w:val="26"/>
          <w:szCs w:val="26"/>
          <w:lang w:eastAsia="pt-BR"/>
        </w:rPr>
        <w:t>OBJETO:</w:t>
      </w:r>
      <w:r>
        <w:rPr>
          <w:rFonts w:ascii="Arial" w:hAnsi="Arial" w:cs="Arial"/>
          <w:b/>
          <w:sz w:val="18"/>
          <w:szCs w:val="18"/>
        </w:rPr>
        <w:t xml:space="preserve"> </w:t>
      </w:r>
      <w:r>
        <w:rPr>
          <w:b/>
          <w:sz w:val="26"/>
          <w:szCs w:val="26"/>
          <w:lang w:eastAsia="pt-BR"/>
        </w:rPr>
        <w:t xml:space="preserve"> </w:t>
      </w:r>
      <w:r>
        <w:rPr>
          <w:rFonts w:hint="default"/>
          <w:spacing w:val="-2"/>
          <w:w w:val="115"/>
          <w:lang w:val="pt-BR"/>
        </w:rPr>
        <w:t xml:space="preserve">REFERENTE A CONTRATAÇÃO DE EMPRESA ESPECIALIZADA EM CONSULTORIA SOBRE TRATAMENTO E CUIDADO EM FERIDAS E LESÕES PARA ESPECIALIZAÇÃO DE PROFISSIONAIS DA SAÚDE </w:t>
      </w: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20"/>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21"/>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21"/>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21"/>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21"/>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21"/>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20"/>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22"/>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22"/>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76672"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76672;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Arial-BoldMT">
    <w:altName w:val="Segoe Print"/>
    <w:panose1 w:val="00000000000000000000"/>
    <w:charset w:val="00"/>
    <w:family w:val="swiss"/>
    <w:pitch w:val="default"/>
    <w:sig w:usb0="00000000" w:usb1="00000000" w:usb2="00000000" w:usb3="00000000" w:csb0="00000000" w:csb1="00000000"/>
  </w:font>
  <w:font w:name="Aptos Narrow">
    <w:altName w:val="Courier New"/>
    <w:panose1 w:val="00000000000000000000"/>
    <w:charset w:val="00"/>
    <w:family w:val="swiss"/>
    <w:pitch w:val="default"/>
    <w:sig w:usb0="00000000" w:usb1="00000000" w:usb2="00000000" w:usb3="00000000" w:csb0="0000019F"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2"/>
      <w:jc w:val="center"/>
      <w:rPr>
        <w:b/>
        <w:bCs/>
        <w:sz w:val="18"/>
      </w:rPr>
    </w:pPr>
    <w:r>
      <w:tab/>
    </w:r>
    <w:bookmarkStart w:id="6" w:name="_Hlk162823156"/>
    <w:r>
      <w:rPr>
        <w:b/>
        <w:bCs/>
        <w:sz w:val="18"/>
      </w:rPr>
      <w:t>Rua Barão de Rifaina nº 251 – CEP 14.490-000 – Centro - Rifaina-SP – Tel. (16) 3135 9500</w:t>
    </w:r>
  </w:p>
  <w:bookmarkEnd w:id="6"/>
  <w:p w14:paraId="143E0831">
    <w:pPr>
      <w:pStyle w:val="12"/>
    </w:pPr>
  </w:p>
  <w:p w14:paraId="2ACCF4C7">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9"/>
      <w:spacing w:line="14" w:lineRule="auto"/>
      <w:rPr>
        <w:sz w:val="20"/>
      </w:rPr>
    </w:pPr>
    <w:r>
      <w:rPr>
        <w:sz w:val="20"/>
        <w:lang w:val="pt-BR" w:eastAsia="pt-BR"/>
      </w:rPr>
      <mc:AlternateContent>
        <mc:Choice Requires="wps">
          <w:drawing>
            <wp:anchor distT="0" distB="0" distL="0" distR="0" simplePos="0" relativeHeight="25166540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5107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9"/>
      <w:spacing w:line="14" w:lineRule="auto"/>
      <w:rPr>
        <w:sz w:val="20"/>
      </w:rPr>
    </w:pPr>
    <w:r>
      <w:rPr>
        <w:sz w:val="20"/>
        <w:lang w:val="pt-BR" w:eastAsia="pt-BR"/>
      </w:rPr>
      <mc:AlternateContent>
        <mc:Choice Requires="wps">
          <w:drawing>
            <wp:anchor distT="0" distB="0" distL="0" distR="0" simplePos="0" relativeHeight="251666432"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50048;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71AC">
    <w:pPr>
      <w:pStyle w:val="12"/>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373479B9">
    <w:pPr>
      <w:pStyle w:val="12"/>
      <w:tabs>
        <w:tab w:val="center" w:pos="4419"/>
        <w:tab w:val="right" w:pos="8838"/>
        <w:tab w:val="clear" w:pos="4680"/>
        <w:tab w:val="clear" w:pos="936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82AC">
    <w:pPr>
      <w:pStyle w:val="12"/>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994CCD7">
    <w:pPr>
      <w:pStyle w:val="12"/>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1"/>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1"/>
      <w:rPr>
        <w:b/>
        <w:bCs/>
        <w:sz w:val="48"/>
        <w:szCs w:val="48"/>
      </w:rPr>
    </w:pPr>
    <w:r>
      <w:rPr>
        <w:b/>
        <w:bCs/>
        <w:sz w:val="48"/>
        <w:szCs w:val="48"/>
      </w:rPr>
      <w:tab/>
    </w:r>
    <w:r>
      <w:rPr>
        <w:b/>
        <w:bCs/>
        <w:sz w:val="48"/>
        <w:szCs w:val="48"/>
      </w:rPr>
      <w:t xml:space="preserve">      MUNICÍPIO DE RIFAINA </w:t>
    </w:r>
  </w:p>
  <w:p w14:paraId="06732883">
    <w:pPr>
      <w:pStyle w:val="11"/>
      <w:rPr>
        <w:b/>
        <w:bCs/>
        <w:sz w:val="48"/>
        <w:szCs w:val="48"/>
      </w:rPr>
    </w:pPr>
  </w:p>
  <w:p w14:paraId="0AE5DFEB">
    <w:pPr>
      <w:pStyle w:val="11"/>
      <w:jc w:val="center"/>
      <w:rPr>
        <w:b/>
        <w:bCs/>
        <w:sz w:val="32"/>
        <w:szCs w:val="32"/>
      </w:rPr>
    </w:pPr>
    <w:r>
      <w:rPr>
        <w:b/>
        <w:bCs/>
        <w:sz w:val="32"/>
        <w:szCs w:val="32"/>
      </w:rPr>
      <w:t>CNPJ 45.318.995/0001-71</w:t>
    </w:r>
  </w:p>
  <w:p w14:paraId="2FCBE1EF">
    <w:pPr>
      <w:spacing w:line="200" w:lineRule="exact"/>
    </w:pPr>
  </w:p>
  <w:p w14:paraId="3BA76411">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1"/>
      <w:ind w:left="-142"/>
      <w:jc w:val="center"/>
      <w:rPr>
        <w:b/>
        <w:bCs/>
        <w:sz w:val="48"/>
        <w:szCs w:val="48"/>
      </w:rPr>
    </w:pPr>
    <w:r>
      <w:rPr>
        <w:lang w:val="pt-BR" w:eastAsia="pt-BR"/>
      </w:rPr>
      <w:drawing>
        <wp:anchor distT="0" distB="0" distL="114300" distR="114300" simplePos="0" relativeHeight="251663360"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8480;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7456"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7456;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1"/>
      <w:rPr>
        <w:b/>
        <w:bCs/>
        <w:sz w:val="48"/>
        <w:szCs w:val="48"/>
      </w:rPr>
    </w:pPr>
    <w:r>
      <w:rPr>
        <w:b/>
        <w:bCs/>
        <w:sz w:val="48"/>
        <w:szCs w:val="48"/>
      </w:rPr>
      <w:tab/>
    </w:r>
    <w:r>
      <w:rPr>
        <w:b/>
        <w:bCs/>
        <w:sz w:val="48"/>
        <w:szCs w:val="48"/>
      </w:rPr>
      <w:t xml:space="preserve">      MUNICÍPIO DE RIFAINA </w:t>
    </w:r>
  </w:p>
  <w:p w14:paraId="6D6C873D">
    <w:pPr>
      <w:pStyle w:val="11"/>
      <w:jc w:val="center"/>
      <w:rPr>
        <w:b/>
        <w:bCs/>
        <w:sz w:val="32"/>
        <w:szCs w:val="32"/>
      </w:rPr>
    </w:pPr>
    <w:r>
      <w:rPr>
        <w:b/>
        <w:bCs/>
        <w:sz w:val="32"/>
        <w:szCs w:val="32"/>
      </w:rPr>
      <w:t>CNPJ 45.318.995/0001-71</w:t>
    </w:r>
  </w:p>
  <w:p w14:paraId="778D0E17">
    <w:pPr>
      <w:spacing w:line="200" w:lineRule="exact"/>
    </w:pPr>
  </w:p>
  <w:p w14:paraId="79628DF3">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1"/>
      <w:ind w:left="-142"/>
      <w:jc w:val="center"/>
      <w:rPr>
        <w:b/>
        <w:bCs/>
        <w:sz w:val="48"/>
        <w:szCs w:val="48"/>
      </w:rPr>
    </w:pPr>
    <w:r>
      <w:rPr>
        <w:lang w:val="pt-BR" w:eastAsia="pt-BR"/>
      </w:rPr>
      <w:drawing>
        <wp:anchor distT="0" distB="0" distL="114300" distR="114300" simplePos="0" relativeHeight="251669504"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052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052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1"/>
      <w:rPr>
        <w:b/>
        <w:bCs/>
        <w:sz w:val="48"/>
        <w:szCs w:val="48"/>
      </w:rPr>
    </w:pPr>
    <w:r>
      <w:rPr>
        <w:b/>
        <w:bCs/>
        <w:sz w:val="48"/>
        <w:szCs w:val="48"/>
      </w:rPr>
      <w:tab/>
    </w:r>
    <w:r>
      <w:rPr>
        <w:b/>
        <w:bCs/>
        <w:sz w:val="48"/>
        <w:szCs w:val="48"/>
      </w:rPr>
      <w:t xml:space="preserve">      MUNICÍPIO DE RIFAINA </w:t>
    </w:r>
  </w:p>
  <w:p w14:paraId="688EB39B">
    <w:pPr>
      <w:pStyle w:val="11"/>
      <w:jc w:val="center"/>
      <w:rPr>
        <w:b/>
        <w:bCs/>
        <w:sz w:val="32"/>
        <w:szCs w:val="32"/>
      </w:rPr>
    </w:pPr>
    <w:r>
      <w:rPr>
        <w:b/>
        <w:bCs/>
        <w:sz w:val="32"/>
        <w:szCs w:val="32"/>
      </w:rPr>
      <w:t>CNPJ 45.318.995/0001-71</w:t>
    </w:r>
  </w:p>
  <w:p w14:paraId="458D27A9">
    <w:pPr>
      <w:spacing w:line="200" w:lineRule="exact"/>
    </w:pPr>
  </w:p>
  <w:p w14:paraId="53375CE1">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8D37">
    <w:pPr>
      <w:pStyle w:val="11"/>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78720"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6AFBEEA8">
    <w:pPr>
      <w:pStyle w:val="11"/>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026C0A64">
    <w:pPr>
      <w:pStyle w:val="11"/>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77696"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4" name="Conector Reto 4"/>
              <wp:cNvGraphicFramePr/>
              <a:graphic xmlns:a="http://schemas.openxmlformats.org/drawingml/2006/main">
                <a:graphicData uri="http://schemas.microsoft.com/office/word/2010/wordprocessingShape">
                  <wps:wsp>
                    <wps:cNvSp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8784;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MckxtgAAAAJAQAADwAAAAAAAAABACAAAAAiAAAAZHJzL2Rvd25yZXYueG1sUEsBAhQAFAAA&#10;AAgAh07iQF8SnzjvAQAA+QMAAA4AAAAAAAAAAQAgAAAAJwEAAGRycy9lMm9Eb2MueG1sUEsFBgAA&#10;AAAGAAYAWQEAAIgFAAAAAA==&#10;">
              <v:fill on="f" focussize="0,0"/>
              <v:stroke weight="4.50708661417323pt" color="#000000" joinstyle="miter"/>
              <v:imagedata o:title=""/>
              <o:lock v:ext="edit" aspectratio="f"/>
            </v:line>
          </w:pict>
        </mc:Fallback>
      </mc:AlternateContent>
    </w:r>
    <w:r>
      <w:rPr>
        <w:b/>
        <w:bCs/>
      </w:rPr>
      <w:t xml:space="preserve">                                                                      CNPJ 45.318.995/0001-71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B08D">
    <w:pPr>
      <w:pStyle w:val="11"/>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78720"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3880A744">
    <w:pPr>
      <w:pStyle w:val="11"/>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1D88F9EF">
    <w:pPr>
      <w:pStyle w:val="11"/>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77696"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8784;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7DAA5"/>
    <w:multiLevelType w:val="singleLevel"/>
    <w:tmpl w:val="B757DAA5"/>
    <w:lvl w:ilvl="0" w:tentative="0">
      <w:start w:val="1"/>
      <w:numFmt w:val="decimal"/>
      <w:suff w:val="space"/>
      <w:lvlText w:val="%1."/>
      <w:lvlJc w:val="left"/>
    </w:lvl>
  </w:abstractNum>
  <w:abstractNum w:abstractNumId="1">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2">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3">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1A23685F"/>
    <w:multiLevelType w:val="multilevel"/>
    <w:tmpl w:val="1A23685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7">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9">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10">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1">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395F22F5"/>
    <w:multiLevelType w:val="multilevel"/>
    <w:tmpl w:val="395F22F5"/>
    <w:lvl w:ilvl="0" w:tentative="0">
      <w:start w:val="4"/>
      <w:numFmt w:val="decimal"/>
      <w:lvlText w:val="%1"/>
      <w:lvlJc w:val="left"/>
      <w:pPr>
        <w:ind w:left="-491" w:hanging="360"/>
      </w:pPr>
      <w:rPr>
        <w:rFonts w:hint="default"/>
      </w:rPr>
    </w:lvl>
    <w:lvl w:ilvl="1" w:tentative="0">
      <w:start w:val="1"/>
      <w:numFmt w:val="decimal"/>
      <w:isLgl/>
      <w:lvlText w:val="%1.%2"/>
      <w:lvlJc w:val="left"/>
      <w:pPr>
        <w:ind w:left="-208" w:hanging="360"/>
      </w:pPr>
      <w:rPr>
        <w:rFonts w:hint="default"/>
      </w:rPr>
    </w:lvl>
    <w:lvl w:ilvl="2" w:tentative="0">
      <w:start w:val="1"/>
      <w:numFmt w:val="decimal"/>
      <w:isLgl/>
      <w:lvlText w:val="%1.%2.%3"/>
      <w:lvlJc w:val="left"/>
      <w:pPr>
        <w:ind w:left="435" w:hanging="720"/>
      </w:pPr>
      <w:rPr>
        <w:rFonts w:hint="default"/>
      </w:rPr>
    </w:lvl>
    <w:lvl w:ilvl="3" w:tentative="0">
      <w:start w:val="1"/>
      <w:numFmt w:val="decimal"/>
      <w:isLgl/>
      <w:lvlText w:val="%1.%2.%3.%4"/>
      <w:lvlJc w:val="left"/>
      <w:pPr>
        <w:ind w:left="1078" w:hanging="1080"/>
      </w:pPr>
      <w:rPr>
        <w:rFonts w:hint="default"/>
      </w:rPr>
    </w:lvl>
    <w:lvl w:ilvl="4" w:tentative="0">
      <w:start w:val="1"/>
      <w:numFmt w:val="decimal"/>
      <w:isLgl/>
      <w:lvlText w:val="%1.%2.%3.%4.%5"/>
      <w:lvlJc w:val="left"/>
      <w:pPr>
        <w:ind w:left="1361" w:hanging="1080"/>
      </w:pPr>
      <w:rPr>
        <w:rFonts w:hint="default"/>
      </w:rPr>
    </w:lvl>
    <w:lvl w:ilvl="5" w:tentative="0">
      <w:start w:val="1"/>
      <w:numFmt w:val="decimal"/>
      <w:isLgl/>
      <w:lvlText w:val="%1.%2.%3.%4.%5.%6"/>
      <w:lvlJc w:val="left"/>
      <w:pPr>
        <w:ind w:left="2004" w:hanging="1440"/>
      </w:pPr>
      <w:rPr>
        <w:rFonts w:hint="default"/>
      </w:rPr>
    </w:lvl>
    <w:lvl w:ilvl="6" w:tentative="0">
      <w:start w:val="1"/>
      <w:numFmt w:val="decimal"/>
      <w:isLgl/>
      <w:lvlText w:val="%1.%2.%3.%4.%5.%6.%7"/>
      <w:lvlJc w:val="left"/>
      <w:pPr>
        <w:ind w:left="2287" w:hanging="1440"/>
      </w:pPr>
      <w:rPr>
        <w:rFonts w:hint="default"/>
      </w:rPr>
    </w:lvl>
    <w:lvl w:ilvl="7" w:tentative="0">
      <w:start w:val="1"/>
      <w:numFmt w:val="decimal"/>
      <w:isLgl/>
      <w:lvlText w:val="%1.%2.%3.%4.%5.%6.%7.%8"/>
      <w:lvlJc w:val="left"/>
      <w:pPr>
        <w:ind w:left="2930" w:hanging="1800"/>
      </w:pPr>
      <w:rPr>
        <w:rFonts w:hint="default"/>
      </w:rPr>
    </w:lvl>
    <w:lvl w:ilvl="8" w:tentative="0">
      <w:start w:val="1"/>
      <w:numFmt w:val="decimal"/>
      <w:isLgl/>
      <w:lvlText w:val="%1.%2.%3.%4.%5.%6.%7.%8.%9"/>
      <w:lvlJc w:val="left"/>
      <w:pPr>
        <w:ind w:left="3213" w:hanging="1800"/>
      </w:pPr>
      <w:rPr>
        <w:rFonts w:hint="default"/>
      </w:rPr>
    </w:lvl>
  </w:abstractNum>
  <w:abstractNum w:abstractNumId="13">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4">
    <w:nsid w:val="507B5022"/>
    <w:multiLevelType w:val="multilevel"/>
    <w:tmpl w:val="507B5022"/>
    <w:lvl w:ilvl="0" w:tentative="0">
      <w:start w:val="1"/>
      <w:numFmt w:val="lowerRoman"/>
      <w:lvlText w:val="(%1)"/>
      <w:lvlJc w:val="left"/>
      <w:pPr>
        <w:ind w:left="862" w:hanging="72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5">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6">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7">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8">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9">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20">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abstractNum w:abstractNumId="21">
    <w:nsid w:val="7FA05EF4"/>
    <w:multiLevelType w:val="multilevel"/>
    <w:tmpl w:val="7FA05E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5"/>
  </w:num>
  <w:num w:numId="3">
    <w:abstractNumId w:val="3"/>
  </w:num>
  <w:num w:numId="4">
    <w:abstractNumId w:val="2"/>
  </w:num>
  <w:num w:numId="5">
    <w:abstractNumId w:val="6"/>
  </w:num>
  <w:num w:numId="6">
    <w:abstractNumId w:val="16"/>
  </w:num>
  <w:num w:numId="7">
    <w:abstractNumId w:val="4"/>
  </w:num>
  <w:num w:numId="8">
    <w:abstractNumId w:val="20"/>
  </w:num>
  <w:num w:numId="9">
    <w:abstractNumId w:val="17"/>
  </w:num>
  <w:num w:numId="10">
    <w:abstractNumId w:val="12"/>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8"/>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AC018A3"/>
    <w:rsid w:val="0C475901"/>
    <w:rsid w:val="15407C7A"/>
    <w:rsid w:val="18461D0F"/>
    <w:rsid w:val="18617033"/>
    <w:rsid w:val="1A804D06"/>
    <w:rsid w:val="279F0FC5"/>
    <w:rsid w:val="298B7420"/>
    <w:rsid w:val="34A3420A"/>
    <w:rsid w:val="3A6D0FB6"/>
    <w:rsid w:val="43CD4EB1"/>
    <w:rsid w:val="44F74CC8"/>
    <w:rsid w:val="459F34E9"/>
    <w:rsid w:val="4AAD0EB8"/>
    <w:rsid w:val="4B325DCE"/>
    <w:rsid w:val="4C513B66"/>
    <w:rsid w:val="557A16D3"/>
    <w:rsid w:val="56363B39"/>
    <w:rsid w:val="57107849"/>
    <w:rsid w:val="572B1B9E"/>
    <w:rsid w:val="57352DB8"/>
    <w:rsid w:val="60A348A9"/>
    <w:rsid w:val="61476185"/>
    <w:rsid w:val="622B0C62"/>
    <w:rsid w:val="624F4F13"/>
    <w:rsid w:val="667168EB"/>
    <w:rsid w:val="67C004EC"/>
    <w:rsid w:val="6F8B4C7B"/>
    <w:rsid w:val="72C139D8"/>
    <w:rsid w:val="746304A6"/>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Emphasis"/>
    <w:qFormat/>
    <w:uiPriority w:val="20"/>
    <w:rPr>
      <w:i/>
      <w:iCs/>
    </w:rPr>
  </w:style>
  <w:style w:type="character" w:styleId="7">
    <w:name w:val="footnote reference"/>
    <w:basedOn w:val="3"/>
    <w:semiHidden/>
    <w:unhideWhenUsed/>
    <w:qFormat/>
    <w:uiPriority w:val="99"/>
    <w:rPr>
      <w:vertAlign w:val="superscript"/>
    </w:rPr>
  </w:style>
  <w:style w:type="character" w:styleId="8">
    <w:name w:val="Hyperlink"/>
    <w:unhideWhenUsed/>
    <w:qFormat/>
    <w:uiPriority w:val="0"/>
    <w:rPr>
      <w:color w:val="0000FF"/>
      <w:u w:val="single"/>
    </w:rPr>
  </w:style>
  <w:style w:type="paragraph" w:styleId="9">
    <w:name w:val="Body Text"/>
    <w:basedOn w:val="1"/>
    <w:qFormat/>
    <w:uiPriority w:val="1"/>
  </w:style>
  <w:style w:type="paragraph" w:styleId="10">
    <w:name w:val="Normal (Web)"/>
    <w:basedOn w:val="1"/>
    <w:unhideWhenUsed/>
    <w:qFormat/>
    <w:uiPriority w:val="99"/>
    <w:pPr>
      <w:spacing w:before="100" w:beforeAutospacing="1" w:after="100" w:afterAutospacing="1"/>
    </w:pPr>
    <w:rPr>
      <w:sz w:val="24"/>
      <w:szCs w:val="24"/>
      <w:lang w:eastAsia="pt-BR"/>
    </w:rPr>
  </w:style>
  <w:style w:type="paragraph" w:styleId="11">
    <w:name w:val="header"/>
    <w:basedOn w:val="1"/>
    <w:link w:val="18"/>
    <w:unhideWhenUsed/>
    <w:qFormat/>
    <w:uiPriority w:val="0"/>
    <w:pPr>
      <w:tabs>
        <w:tab w:val="center" w:pos="4680"/>
        <w:tab w:val="right" w:pos="9360"/>
      </w:tabs>
    </w:pPr>
  </w:style>
  <w:style w:type="paragraph" w:styleId="12">
    <w:name w:val="footer"/>
    <w:basedOn w:val="1"/>
    <w:link w:val="19"/>
    <w:unhideWhenUsed/>
    <w:qFormat/>
    <w:uiPriority w:val="99"/>
    <w:pPr>
      <w:tabs>
        <w:tab w:val="center" w:pos="4680"/>
        <w:tab w:val="right" w:pos="9360"/>
      </w:tabs>
    </w:pPr>
  </w:style>
  <w:style w:type="paragraph" w:styleId="13">
    <w:name w:val="footnote text"/>
    <w:basedOn w:val="1"/>
    <w:link w:val="23"/>
    <w:semiHidden/>
    <w:unhideWhenUsed/>
    <w:qFormat/>
    <w:uiPriority w:val="99"/>
    <w:pPr>
      <w:widowControl/>
      <w:suppressAutoHyphens/>
      <w:autoSpaceDE/>
      <w:autoSpaceDN/>
    </w:pPr>
    <w:rPr>
      <w:sz w:val="20"/>
      <w:szCs w:val="20"/>
      <w:lang w:val="pt-BR" w:eastAsia="zh-CN"/>
    </w:rPr>
  </w:style>
  <w:style w:type="table" w:styleId="14">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34"/>
    <w:pPr>
      <w:ind w:left="492"/>
      <w:jc w:val="both"/>
    </w:pPr>
  </w:style>
  <w:style w:type="paragraph" w:customStyle="1" w:styleId="17">
    <w:name w:val="Table Paragraph"/>
    <w:basedOn w:val="1"/>
    <w:qFormat/>
    <w:uiPriority w:val="1"/>
  </w:style>
  <w:style w:type="character" w:customStyle="1" w:styleId="18">
    <w:name w:val="Cabeçalho Char"/>
    <w:basedOn w:val="3"/>
    <w:link w:val="11"/>
    <w:qFormat/>
    <w:uiPriority w:val="0"/>
    <w:rPr>
      <w:rFonts w:ascii="Times New Roman" w:hAnsi="Times New Roman" w:eastAsia="Times New Roman" w:cs="Times New Roman"/>
      <w:lang w:val="pt-PT"/>
    </w:rPr>
  </w:style>
  <w:style w:type="character" w:customStyle="1" w:styleId="19">
    <w:name w:val="Rodapé Char"/>
    <w:basedOn w:val="3"/>
    <w:link w:val="12"/>
    <w:qFormat/>
    <w:uiPriority w:val="99"/>
    <w:rPr>
      <w:rFonts w:ascii="Times New Roman" w:hAnsi="Times New Roman" w:eastAsia="Times New Roman" w:cs="Times New Roman"/>
      <w:lang w:val="pt-PT"/>
    </w:rPr>
  </w:style>
  <w:style w:type="paragraph" w:styleId="20">
    <w:name w:val="No Spacing"/>
    <w:qFormat/>
    <w:uiPriority w:val="1"/>
    <w:rPr>
      <w:rFonts w:ascii="Calibri" w:hAnsi="Calibri" w:eastAsia="Calibri" w:cs="Times New Roman"/>
      <w:sz w:val="22"/>
      <w:szCs w:val="22"/>
      <w:lang w:val="pt-BR" w:eastAsia="en-US" w:bidi="ar-SA"/>
    </w:rPr>
  </w:style>
  <w:style w:type="paragraph" w:customStyle="1" w:styleId="21">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2">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3">
    <w:name w:val="Texto de nota de rodapé Char"/>
    <w:basedOn w:val="3"/>
    <w:link w:val="13"/>
    <w:semiHidden/>
    <w:qFormat/>
    <w:uiPriority w:val="99"/>
    <w:rPr>
      <w:rFonts w:ascii="Times New Roman" w:hAnsi="Times New Roman" w:eastAsia="Times New Roman" w:cs="Times New Roman"/>
      <w:sz w:val="20"/>
      <w:szCs w:val="20"/>
      <w:lang w:val="pt-BR" w:eastAsia="zh-CN"/>
    </w:rPr>
  </w:style>
  <w:style w:type="character" w:customStyle="1" w:styleId="24">
    <w:name w:val="Fonte parág. padrão3"/>
    <w:qFormat/>
    <w:uiPriority w:val="0"/>
  </w:style>
  <w:style w:type="paragraph" w:customStyle="1" w:styleId="25">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6">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7">
    <w:name w:val="Nivel 3"/>
    <w:basedOn w:val="22"/>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8">
    <w:name w:val="datatable-header-cell-label"/>
    <w:qFormat/>
    <w:uiPriority w:val="0"/>
  </w:style>
  <w:style w:type="paragraph" w:customStyle="1" w:styleId="29">
    <w:name w:val="ds-markdown-paragraph"/>
    <w:basedOn w:val="1"/>
    <w:uiPriority w:val="0"/>
    <w:pPr>
      <w:suppressAutoHyphens w:val="0"/>
      <w:spacing w:before="100" w:beforeAutospacing="1" w:after="100" w:afterAutospacing="1"/>
    </w:pPr>
    <w:rPr>
      <w:sz w:val="24"/>
      <w:szCs w:val="24"/>
      <w:lang w:eastAsia="pt-B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32</Pages>
  <Words>11909</Words>
  <Characters>64312</Characters>
  <Lines>535</Lines>
  <Paragraphs>152</Paragraphs>
  <TotalTime>1</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2025-08-21T18:43:00Z</cp:lastPrinted>
  <dcterms:modified xsi:type="dcterms:W3CDTF">2025-09-05T17:07:25Z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07DEFDF87C1B4B14AD37FADF530D635C_13</vt:lpwstr>
  </property>
</Properties>
</file>