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117</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77</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20133760">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20/08</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w:t>
      </w:r>
      <w:r>
        <w:rPr>
          <w:rFonts w:hint="default" w:ascii="Times New Roman" w:hAnsi="Times New Roman" w:cs="Times New Roman"/>
          <w:b/>
          <w:color w:val="000000"/>
          <w:spacing w:val="23"/>
          <w:w w:val="115"/>
          <w:highlight w:val="yellow"/>
          <w:u w:val="single"/>
          <w:lang w:val="pt-BR"/>
        </w:rPr>
        <w:t xml:space="preserve">13:00 </w:t>
      </w:r>
      <w:r>
        <w:rPr>
          <w:rFonts w:ascii="Times New Roman" w:hAnsi="Times New Roman" w:cs="Times New Roman"/>
          <w:color w:val="000000"/>
          <w:w w:val="115"/>
          <w:highlight w:val="yellow"/>
        </w:rPr>
        <w:t>até</w:t>
      </w:r>
      <w:r>
        <w:rPr>
          <w:rFonts w:hint="default" w:ascii="Times New Roman" w:hAnsi="Times New Roman" w:cs="Times New Roman"/>
          <w:color w:val="000000"/>
          <w:w w:val="115"/>
          <w:highlight w:val="yellow"/>
          <w:lang w:val="pt-BR"/>
        </w:rPr>
        <w:t xml:space="preserve"> </w:t>
      </w: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26/08</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hint="default" w:ascii="Times New Roman" w:hAnsi="Times New Roman" w:cs="Times New Roman"/>
          <w:color w:val="000000"/>
          <w:w w:val="115"/>
          <w:highlight w:val="yellow"/>
          <w:lang w:val="pt-BR"/>
        </w:rPr>
        <w:t xml:space="preserve"> </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26/08</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4E3DEBBB">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bookmarkStart w:id="2" w:name="_Hlk188952987"/>
      <w:bookmarkStart w:id="3" w:name="_Hlk189119850"/>
      <w:r>
        <w:rPr>
          <w:rFonts w:ascii="Times New Roman" w:hAnsi="Times New Roman" w:eastAsia="Courier New" w:cs="Times New Roman"/>
          <w:b/>
          <w:sz w:val="22"/>
          <w:szCs w:val="22"/>
          <w:lang w:val="pt-PT" w:eastAsia="en-US" w:bidi="ar-SA"/>
        </w:rPr>
        <w:t xml:space="preserve">RECURSO MUNICIPAL / ESTADUAL / FEDERAL </w:t>
      </w:r>
      <w:bookmarkEnd w:id="2"/>
    </w:p>
    <w:p w14:paraId="48A076CC">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p>
    <w:p w14:paraId="77FF1CC8">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02 16 - SECRETARIA MUNICIPAL DE SAUDE</w:t>
      </w:r>
    </w:p>
    <w:p w14:paraId="2E4C0FE7">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021601 – FUNDO MUNICIPAL DE SAUDE</w:t>
      </w:r>
    </w:p>
    <w:p w14:paraId="6C900CED">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p>
    <w:p w14:paraId="15A26D71">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FICHA 259</w:t>
      </w:r>
    </w:p>
    <w:p w14:paraId="7BDDDB47">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 xml:space="preserve">10.301.0034.2015.00003.3.90.32.00 </w:t>
      </w:r>
    </w:p>
    <w:p w14:paraId="773E698A">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MATERIAL, BEM OU SERVIÇO PARA DISTRIBUIÇÃO GRATUITA</w:t>
      </w:r>
    </w:p>
    <w:p w14:paraId="1C8ADD73">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p>
    <w:p w14:paraId="3E793BFB">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FICHA 260</w:t>
      </w:r>
    </w:p>
    <w:p w14:paraId="088A7973">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 xml:space="preserve">10.301.0034.2015.00003.3.90.32.00 </w:t>
      </w:r>
    </w:p>
    <w:p w14:paraId="098C75A9">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MATERIAL, BEM OU SERVIÇO PARA DISTRIBUIÇÃO GRATUITA</w:t>
      </w:r>
    </w:p>
    <w:p w14:paraId="564F6E5A">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p>
    <w:p w14:paraId="41E28353">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FICHA 270</w:t>
      </w:r>
    </w:p>
    <w:p w14:paraId="63124D53">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 xml:space="preserve">10.301.0034.2015.00163.3.90.32.00 </w:t>
      </w:r>
    </w:p>
    <w:p w14:paraId="76013206">
      <w:pPr>
        <w:numPr>
          <w:ilvl w:val="0"/>
          <w:numId w:val="2"/>
        </w:numPr>
        <w:suppressAutoHyphens w:val="0"/>
        <w:spacing w:line="360" w:lineRule="auto"/>
        <w:ind w:left="1985" w:right="-853" w:hanging="1843"/>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MATERIAL, BEM OU SERVIÇO PARA DISTRIBUIÇÃO GRATUITA</w:t>
      </w:r>
      <w:bookmarkEnd w:id="3"/>
    </w:p>
    <w:p w14:paraId="2157306A">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eastAsia="Courier New" w:cs="Times New Roman"/>
          <w:b w:val="0"/>
          <w:bCs/>
          <w:sz w:val="22"/>
          <w:szCs w:val="22"/>
          <w:lang w:val="pt-PT" w:eastAsia="en-US" w:bidi="ar-SA"/>
        </w:rPr>
      </w:pPr>
    </w:p>
    <w:p w14:paraId="2A2C43BC">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val="0"/>
          <w:bCs/>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Times New Roman" w:hAnsi="Times New Roman" w:cs="Times New Roman"/>
          <w:b/>
          <w:bCs/>
          <w:w w:val="115"/>
          <w:sz w:val="24"/>
          <w:szCs w:val="24"/>
        </w:rPr>
        <w:t xml:space="preserve"> </w:t>
      </w:r>
      <w:r>
        <w:rPr>
          <w:rFonts w:hint="default" w:ascii="Times New Roman" w:hAnsi="Times New Roman" w:cs="Times New Roman"/>
          <w:b/>
          <w:bCs/>
          <w:w w:val="115"/>
          <w:sz w:val="24"/>
          <w:szCs w:val="24"/>
          <w:lang w:val="pt-BR"/>
        </w:rPr>
        <w:t>REGISTRO DE PREÇO DE MEDICAMENTO MONJAURO 2,5MG E 5 MG PARA SUPRIR DEMANDA JUDICIAL N°000054-73.2025.8.26.0434</w:t>
      </w:r>
      <w:r>
        <w:rPr>
          <w:rFonts w:ascii="Times New Roman" w:hAnsi="Times New Roman" w:cs="Times New Roman"/>
          <w:b/>
          <w:bCs/>
          <w:w w:val="115"/>
          <w:sz w:val="24"/>
          <w:szCs w:val="24"/>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19 de agosto</w:t>
      </w:r>
      <w:r>
        <w:rPr>
          <w:rFonts w:hint="default" w:ascii="Times New Roman" w:hAnsi="Times New Roman" w:cs="Times New Roman"/>
          <w:spacing w:val="4"/>
          <w:w w:val="115"/>
          <w:sz w:val="22"/>
          <w:szCs w:val="22"/>
          <w:lang w:val="pt-BR"/>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w:t>
      </w:r>
      <w:r>
        <w:rPr>
          <w:rFonts w:hint="default" w:ascii="Times New Roman" w:hAnsi="Times New Roman" w:cs="Times New Roman"/>
          <w:b/>
          <w:spacing w:val="-2"/>
          <w:w w:val="120"/>
          <w:lang w:val="pt-BR"/>
        </w:rPr>
        <w:t xml:space="preserve">REGISTRO DE PREÇO DE MEDICAMENTO MONJAURO 2,5MG E 5 MG PARA SUPRIR DEMANDA JUDICIAL N°000054-73.2025.8.26.0434. </w:t>
      </w:r>
    </w:p>
    <w:p w14:paraId="3CDE3FE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6160" w:type="dxa"/>
        <w:tblInd w:w="80" w:type="dxa"/>
        <w:tblLayout w:type="autofit"/>
        <w:tblCellMar>
          <w:top w:w="0" w:type="dxa"/>
          <w:left w:w="70" w:type="dxa"/>
          <w:bottom w:w="0" w:type="dxa"/>
          <w:right w:w="70" w:type="dxa"/>
        </w:tblCellMar>
      </w:tblPr>
      <w:tblGrid>
        <w:gridCol w:w="960"/>
        <w:gridCol w:w="960"/>
        <w:gridCol w:w="960"/>
        <w:gridCol w:w="3280"/>
      </w:tblGrid>
      <w:tr w14:paraId="0189C526">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5718479">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2C32F5E4">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0686BEE9">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54E267FB">
            <w:pPr>
              <w:suppressAutoHyphens w:val="0"/>
              <w:rPr>
                <w:rFonts w:ascii="Arial" w:hAnsi="Arial" w:cs="Arial"/>
                <w:b/>
                <w:bCs/>
                <w:color w:val="000000"/>
                <w:lang w:eastAsia="pt-BR"/>
              </w:rPr>
            </w:pPr>
            <w:r>
              <w:rPr>
                <w:rFonts w:ascii="Arial" w:hAnsi="Arial" w:cs="Arial"/>
                <w:b/>
                <w:bCs/>
                <w:color w:val="000000"/>
                <w:lang w:eastAsia="pt-BR"/>
              </w:rPr>
              <w:t>NOME DO PRODUTO</w:t>
            </w:r>
          </w:p>
        </w:tc>
      </w:tr>
      <w:tr w14:paraId="251CC6E1">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39048AC4">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6855E53C">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40DB4AB1">
            <w:pPr>
              <w:suppressAutoHyphens w:val="0"/>
              <w:jc w:val="right"/>
              <w:rPr>
                <w:rFonts w:ascii="Arial" w:hAnsi="Arial" w:cs="Arial"/>
                <w:color w:val="000000"/>
                <w:lang w:eastAsia="pt-BR"/>
              </w:rPr>
            </w:pPr>
            <w:r>
              <w:rPr>
                <w:rFonts w:ascii="Arial" w:hAnsi="Arial" w:cs="Arial"/>
                <w:color w:val="000000"/>
                <w:lang w:eastAsia="pt-BR"/>
              </w:rPr>
              <w:t>4</w:t>
            </w:r>
          </w:p>
        </w:tc>
        <w:tc>
          <w:tcPr>
            <w:tcW w:w="3280" w:type="dxa"/>
            <w:tcBorders>
              <w:top w:val="nil"/>
              <w:left w:val="nil"/>
              <w:bottom w:val="single" w:color="auto" w:sz="8" w:space="0"/>
              <w:right w:val="single" w:color="auto" w:sz="8" w:space="0"/>
            </w:tcBorders>
            <w:shd w:val="clear" w:color="auto" w:fill="auto"/>
            <w:noWrap/>
            <w:vAlign w:val="center"/>
          </w:tcPr>
          <w:p w14:paraId="22B9F408">
            <w:pPr>
              <w:suppressAutoHyphens w:val="0"/>
              <w:rPr>
                <w:rFonts w:ascii="Arial" w:hAnsi="Arial" w:cs="Arial"/>
                <w:color w:val="000000"/>
                <w:lang w:eastAsia="pt-BR"/>
              </w:rPr>
            </w:pPr>
            <w:r>
              <w:rPr>
                <w:rFonts w:ascii="Arial" w:hAnsi="Arial" w:cs="Arial"/>
                <w:color w:val="000000"/>
                <w:lang w:eastAsia="pt-BR"/>
              </w:rPr>
              <w:t>Mounjaro (tirzepatida) 2,5MG</w:t>
            </w:r>
          </w:p>
        </w:tc>
      </w:tr>
      <w:tr w14:paraId="79F5F5ED">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5C847A09">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0CCBD8C5">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6181C958">
            <w:pPr>
              <w:suppressAutoHyphens w:val="0"/>
              <w:jc w:val="right"/>
              <w:rPr>
                <w:rFonts w:ascii="Arial" w:hAnsi="Arial" w:cs="Arial"/>
                <w:color w:val="000000"/>
                <w:lang w:eastAsia="pt-BR"/>
              </w:rPr>
            </w:pPr>
            <w:r>
              <w:rPr>
                <w:rFonts w:ascii="Arial" w:hAnsi="Arial" w:cs="Arial"/>
                <w:color w:val="000000"/>
                <w:lang w:eastAsia="pt-BR"/>
              </w:rPr>
              <w:t>13</w:t>
            </w:r>
          </w:p>
        </w:tc>
        <w:tc>
          <w:tcPr>
            <w:tcW w:w="3280" w:type="dxa"/>
            <w:tcBorders>
              <w:top w:val="nil"/>
              <w:left w:val="nil"/>
              <w:bottom w:val="single" w:color="auto" w:sz="8" w:space="0"/>
              <w:right w:val="single" w:color="auto" w:sz="8" w:space="0"/>
            </w:tcBorders>
            <w:shd w:val="clear" w:color="auto" w:fill="auto"/>
            <w:noWrap/>
            <w:vAlign w:val="center"/>
          </w:tcPr>
          <w:p w14:paraId="10479913">
            <w:pPr>
              <w:suppressAutoHyphens w:val="0"/>
              <w:rPr>
                <w:rFonts w:ascii="Arial" w:hAnsi="Arial" w:cs="Arial"/>
                <w:color w:val="000000"/>
                <w:lang w:eastAsia="pt-BR"/>
              </w:rPr>
            </w:pPr>
            <w:r>
              <w:rPr>
                <w:rFonts w:ascii="Arial" w:hAnsi="Arial" w:cs="Arial"/>
                <w:color w:val="000000"/>
                <w:lang w:eastAsia="pt-BR"/>
              </w:rPr>
              <w:t>Mounjaro (tirzepatida) 5MG</w:t>
            </w:r>
          </w:p>
        </w:tc>
      </w:tr>
    </w:tbl>
    <w:p w14:paraId="4B48F6F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9C2488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4E4ED8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0EBB4A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233CD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5E04257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2669C7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B7F68B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C7868C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4BEF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1B596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6857CF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F70AB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777A0A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8742A4F">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0CF8FC4">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DB3C8A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7B05CD5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7AD852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907A30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2C9CE4E">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79BBFBCD">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28FD01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D8AF36E">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3E0E6C5">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F1969C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4A16673D">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5E3935C1">
      <w:pPr>
        <w:spacing w:line="360" w:lineRule="auto"/>
        <w:ind w:left="-567" w:right="-708" w:firstLine="709"/>
        <w:jc w:val="center"/>
        <w:rPr>
          <w:rFonts w:ascii="Arial" w:hAnsi="Arial" w:cs="Arial"/>
          <w:b/>
          <w:bCs/>
          <w:sz w:val="24"/>
          <w:szCs w:val="24"/>
        </w:rPr>
      </w:pPr>
    </w:p>
    <w:p w14:paraId="71F44472">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254A8214">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7C859013">
      <w:pPr>
        <w:spacing w:line="360" w:lineRule="auto"/>
        <w:ind w:left="-567" w:right="-708" w:firstLine="709"/>
        <w:jc w:val="center"/>
        <w:rPr>
          <w:rFonts w:ascii="Arial" w:hAnsi="Arial" w:cs="Arial"/>
          <w:sz w:val="24"/>
          <w:szCs w:val="24"/>
        </w:rPr>
      </w:pPr>
    </w:p>
    <w:p w14:paraId="68593CE2">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20A6E62F">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48C2458A">
      <w:pPr>
        <w:spacing w:line="360" w:lineRule="auto"/>
        <w:ind w:left="-567" w:right="-708" w:firstLine="709"/>
        <w:jc w:val="both"/>
        <w:rPr>
          <w:rFonts w:ascii="Arial" w:hAnsi="Arial" w:cs="Arial"/>
          <w:sz w:val="24"/>
          <w:szCs w:val="24"/>
        </w:rPr>
      </w:pPr>
    </w:p>
    <w:p w14:paraId="5268811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68C81392">
      <w:pPr>
        <w:spacing w:line="360" w:lineRule="auto"/>
        <w:ind w:left="-567" w:right="-708" w:firstLine="709"/>
        <w:jc w:val="both"/>
        <w:rPr>
          <w:rFonts w:ascii="Arial" w:hAnsi="Arial" w:eastAsia="Arial-BoldMT" w:cs="Arial"/>
          <w:b/>
          <w:bCs/>
          <w:sz w:val="24"/>
          <w:szCs w:val="24"/>
        </w:rPr>
      </w:pPr>
    </w:p>
    <w:p w14:paraId="29347D19">
      <w:pPr>
        <w:spacing w:line="360" w:lineRule="auto"/>
        <w:ind w:left="-567" w:right="-708" w:firstLine="709"/>
        <w:jc w:val="both"/>
        <w:rPr>
          <w:rFonts w:ascii="Arial" w:hAnsi="Arial" w:cs="Arial"/>
          <w:sz w:val="24"/>
          <w:szCs w:val="24"/>
        </w:rPr>
      </w:pPr>
      <w:r>
        <w:rPr>
          <w:rFonts w:ascii="Arial" w:hAnsi="Arial" w:cs="Arial"/>
          <w:sz w:val="24"/>
          <w:szCs w:val="24"/>
        </w:rPr>
        <w:t>Com base no processo judicial nº 0000544-73.2025.8.26.0434, o objeto do contrato consiste na aquisição de medicamentos para o tratamento de obesidade e comorbidades associadas, com foco no produto Mounjaro (tirzepatida), conforme determinações judiciais e previsões legais. A natureza do objeto abrange medicamentos injetáveis de aplicação semanal, destinados a pacientes com IMC ≥ 30 kg/m² (obesidade) ou IMC ≥ 27 kg/m² (sobrepeso) com comorbidades como diabetes ou hipertensão, conforme protocolos clínicos validados 2. Os quantitativos serão estabelecidos com base em projeções de demanda mensal alinhadas ao número de pacientes elegíveis identificados no sistema de saúde, considerando ainda estratégias de logística e armazenamento para garantir a continuidade do tratamento.</w:t>
      </w:r>
    </w:p>
    <w:p w14:paraId="75D974CA">
      <w:pPr>
        <w:spacing w:line="360" w:lineRule="auto"/>
        <w:ind w:left="-567" w:right="-708" w:firstLine="709"/>
        <w:jc w:val="both"/>
        <w:rPr>
          <w:rFonts w:ascii="Arial" w:hAnsi="Arial" w:cs="Arial"/>
          <w:sz w:val="24"/>
          <w:szCs w:val="24"/>
        </w:rPr>
      </w:pPr>
      <w:r>
        <w:rPr>
          <w:rFonts w:ascii="Arial" w:hAnsi="Arial" w:cs="Arial"/>
          <w:sz w:val="24"/>
          <w:szCs w:val="24"/>
        </w:rPr>
        <w:t>O prazo contratual previsto é de 12 (doze) meses, contados a partir da assinatura do contrato, com cláusula expressa de prorrogação por igual período, condicionada à análise de desempenho, conformidade com metas de entrega e disponibilidade orçamentária. A prorrogação dependerá de justificativa técnica fundamentada que comprove a continuidade da necessidade terapêutica, a otimização de recursos públicos e a ausência de alterações nos parâmetros judiciais 12. Ressalta-se que quaisquer ajustes nos quantitativos ou prazos exigirão aprovação judicial complementar, preservando-se os princípios da economicidade e transparência (Lei 14.133/2021, Art. 6º).</w:t>
      </w:r>
    </w:p>
    <w:p w14:paraId="2F07E525">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37F52FCF">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7496EFB4">
      <w:pPr>
        <w:spacing w:line="360" w:lineRule="auto"/>
        <w:ind w:right="-708"/>
        <w:jc w:val="both"/>
        <w:rPr>
          <w:rFonts w:ascii="Arial" w:hAnsi="Arial" w:cs="Arial"/>
          <w:sz w:val="24"/>
          <w:szCs w:val="24"/>
        </w:rPr>
      </w:pPr>
    </w:p>
    <w:p w14:paraId="5EF1CE3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7220A6FC">
      <w:pPr>
        <w:spacing w:line="360" w:lineRule="auto"/>
        <w:ind w:left="-567" w:right="-708" w:firstLine="709"/>
        <w:jc w:val="both"/>
        <w:rPr>
          <w:rFonts w:ascii="Arial" w:hAnsi="Arial" w:cs="Arial"/>
          <w:sz w:val="24"/>
          <w:szCs w:val="24"/>
        </w:rPr>
      </w:pPr>
      <w:r>
        <w:rPr>
          <w:rFonts w:ascii="Arial" w:hAnsi="Arial" w:cs="Arial"/>
          <w:sz w:val="24"/>
          <w:szCs w:val="24"/>
        </w:rPr>
        <w:t>Fundamentada no Processo Judicial nº 0000544-73.2025.8.26.0434, a contratação do medicamento Mounjaro (tirzepatida) para tratamento de obesidade e comorbidades associadas obedece estritamente à decisão judicial, que estabelece a obrigatoriedade de aquisição conforme orçamento validado nos autos, respaldada por estudos técnicos que comprovam a eficácia e segurança do fármaco (ensaios SURMOUNT-1 e SURMOUNT-2) e por análise econômica que demonstra o custo-benefício frente à redução de complicações clínicas, garantindo conformidade com os princípios da legalidade, economicidade e interesse público.</w:t>
      </w:r>
    </w:p>
    <w:p w14:paraId="4915CE72">
      <w:pPr>
        <w:spacing w:line="360" w:lineRule="auto"/>
        <w:ind w:right="-708"/>
        <w:jc w:val="both"/>
        <w:rPr>
          <w:rFonts w:ascii="Arial" w:hAnsi="Arial" w:cs="Arial"/>
          <w:sz w:val="24"/>
          <w:szCs w:val="24"/>
        </w:rPr>
      </w:pPr>
    </w:p>
    <w:p w14:paraId="49AE98F7">
      <w:pPr>
        <w:spacing w:line="360" w:lineRule="auto"/>
        <w:ind w:left="-567" w:right="-708" w:firstLine="709"/>
        <w:jc w:val="both"/>
        <w:rPr>
          <w:rFonts w:ascii="Arial" w:hAnsi="Arial" w:cs="Arial"/>
          <w:sz w:val="24"/>
          <w:szCs w:val="24"/>
        </w:rPr>
      </w:pPr>
    </w:p>
    <w:p w14:paraId="2C08782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1B789C47">
      <w:pPr>
        <w:spacing w:line="360" w:lineRule="auto"/>
        <w:ind w:left="-567" w:right="-708" w:firstLine="709"/>
        <w:jc w:val="both"/>
        <w:rPr>
          <w:rFonts w:ascii="Arial" w:hAnsi="Arial" w:eastAsia="Arial-BoldMT" w:cs="Arial"/>
          <w:b/>
          <w:bCs/>
          <w:sz w:val="24"/>
          <w:szCs w:val="24"/>
        </w:rPr>
      </w:pPr>
    </w:p>
    <w:p w14:paraId="15382CBF">
      <w:pPr>
        <w:spacing w:line="360" w:lineRule="auto"/>
        <w:ind w:left="-567" w:right="-708" w:firstLine="709"/>
        <w:rPr>
          <w:rFonts w:ascii="Arial" w:hAnsi="Arial" w:cs="Arial"/>
          <w:sz w:val="24"/>
          <w:szCs w:val="24"/>
        </w:rPr>
      </w:pPr>
      <w:r>
        <w:rPr>
          <w:rFonts w:ascii="Arial" w:hAnsi="Arial" w:cs="Arial"/>
          <w:sz w:val="24"/>
          <w:szCs w:val="24"/>
        </w:rPr>
        <w:t>A solução como um todo, abrangendo todo o ciclo de vida do objeto, consiste no estrito cumprimento da decisão judicial proferida no Processo nº 0000544-73.2025.8.26.0434, envolvendo:</w:t>
      </w:r>
    </w:p>
    <w:p w14:paraId="191E6BB4">
      <w:pPr>
        <w:spacing w:line="360" w:lineRule="auto"/>
        <w:ind w:left="-567" w:right="-708" w:firstLine="709"/>
        <w:rPr>
          <w:rFonts w:ascii="Arial" w:hAnsi="Arial" w:cs="Arial"/>
          <w:sz w:val="24"/>
          <w:szCs w:val="24"/>
        </w:rPr>
      </w:pPr>
      <w:r>
        <w:rPr>
          <w:rFonts w:ascii="Arial" w:hAnsi="Arial" w:cs="Arial"/>
          <w:sz w:val="24"/>
          <w:szCs w:val="24"/>
        </w:rPr>
        <w:br w:type="textWrapping"/>
      </w:r>
      <w:r>
        <w:rPr>
          <w:rFonts w:ascii="Arial" w:hAnsi="Arial" w:cs="Arial"/>
          <w:sz w:val="24"/>
          <w:szCs w:val="24"/>
        </w:rPr>
        <w:t>(i) aquisição do medicamento Mounjaro (tirzepatida) conforme quantitativos, especificações técnicas e valor referencial definidos nos autos;</w:t>
      </w:r>
      <w:r>
        <w:rPr>
          <w:rFonts w:ascii="Arial" w:hAnsi="Arial" w:cs="Arial"/>
          <w:sz w:val="24"/>
          <w:szCs w:val="24"/>
        </w:rPr>
        <w:br w:type="textWrapping"/>
      </w:r>
      <w:r>
        <w:rPr>
          <w:rFonts w:ascii="Arial" w:hAnsi="Arial" w:cs="Arial"/>
          <w:sz w:val="24"/>
          <w:szCs w:val="24"/>
        </w:rPr>
        <w:t>(ii) gestão logística integrada (recebimento, armazenamento em condições controladas, dispensação);</w:t>
      </w:r>
      <w:r>
        <w:rPr>
          <w:rFonts w:ascii="Arial" w:hAnsi="Arial" w:cs="Arial"/>
          <w:sz w:val="24"/>
          <w:szCs w:val="24"/>
        </w:rPr>
        <w:br w:type="textWrapping"/>
      </w:r>
      <w:r>
        <w:rPr>
          <w:rFonts w:ascii="Arial" w:hAnsi="Arial" w:cs="Arial"/>
          <w:sz w:val="24"/>
          <w:szCs w:val="24"/>
        </w:rPr>
        <w:t>(iv) descarte ambientalmente adequado de eventuais sobras, conforme resolução RDC ANVISA nº 306/2004.</w:t>
      </w:r>
      <w:r>
        <w:rPr>
          <w:rFonts w:ascii="Arial" w:hAnsi="Arial" w:cs="Arial"/>
          <w:sz w:val="24"/>
          <w:szCs w:val="24"/>
        </w:rPr>
        <w:br w:type="textWrapping"/>
      </w:r>
      <w:r>
        <w:rPr>
          <w:rFonts w:ascii="Arial" w:hAnsi="Arial" w:cs="Arial"/>
          <w:sz w:val="24"/>
          <w:szCs w:val="24"/>
        </w:rPr>
        <w:t xml:space="preserve">           Todo o ciclo — do planejamento à prestação de contas final — vincula-se à ordem judicial, garantindo que as etapas de execução, fiscalização e avaliação de resultados assegurem conformidade legal (Lei 14.133/2021), efetividade terapêutica e transparência na aplicação dos recursos públicos.</w:t>
      </w:r>
    </w:p>
    <w:p w14:paraId="0E682849">
      <w:pPr>
        <w:spacing w:line="360" w:lineRule="auto"/>
        <w:ind w:left="-567" w:right="-708" w:firstLine="709"/>
        <w:jc w:val="both"/>
        <w:rPr>
          <w:rFonts w:ascii="Arial" w:hAnsi="Arial" w:cs="Arial"/>
          <w:sz w:val="24"/>
          <w:szCs w:val="24"/>
        </w:rPr>
      </w:pPr>
    </w:p>
    <w:p w14:paraId="656DA4DA">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2A191E7A">
      <w:pPr>
        <w:spacing w:line="360" w:lineRule="auto"/>
        <w:ind w:right="-708"/>
        <w:jc w:val="both"/>
        <w:rPr>
          <w:rFonts w:ascii="Arial" w:hAnsi="Arial" w:eastAsia="Arial-BoldMT" w:cs="Arial"/>
          <w:b/>
          <w:bCs/>
          <w:sz w:val="24"/>
          <w:szCs w:val="24"/>
        </w:rPr>
      </w:pPr>
    </w:p>
    <w:p w14:paraId="7B5E82F5">
      <w:pPr>
        <w:numPr>
          <w:ilvl w:val="1"/>
          <w:numId w:val="14"/>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48771D0B">
      <w:pPr>
        <w:spacing w:line="360" w:lineRule="auto"/>
        <w:ind w:left="-142"/>
        <w:jc w:val="both"/>
        <w:rPr>
          <w:rFonts w:ascii="Arial" w:hAnsi="Arial" w:cs="Arial"/>
          <w:b/>
          <w:bCs/>
          <w:sz w:val="24"/>
          <w:szCs w:val="24"/>
        </w:rPr>
      </w:pPr>
    </w:p>
    <w:p w14:paraId="2216D292">
      <w:pPr>
        <w:numPr>
          <w:ilvl w:val="2"/>
          <w:numId w:val="14"/>
        </w:numPr>
        <w:spacing w:line="360" w:lineRule="auto"/>
        <w:ind w:left="-142" w:firstLine="0"/>
        <w:jc w:val="both"/>
        <w:rPr>
          <w:rFonts w:ascii="Arial" w:hAnsi="Arial" w:cs="Arial"/>
          <w:b/>
          <w:bCs/>
          <w:sz w:val="24"/>
          <w:szCs w:val="24"/>
        </w:rPr>
      </w:pPr>
      <w:r>
        <w:rPr>
          <w:rFonts w:ascii="Arial" w:hAnsi="Arial" w:cs="Arial"/>
          <w:sz w:val="24"/>
          <w:szCs w:val="24"/>
        </w:rPr>
        <w:t>Receber o medicamento no prazo e condições estabelecidas na solicitação da compra;</w:t>
      </w:r>
    </w:p>
    <w:p w14:paraId="6ECCAB6B">
      <w:pPr>
        <w:numPr>
          <w:ilvl w:val="2"/>
          <w:numId w:val="14"/>
        </w:numPr>
        <w:spacing w:line="360" w:lineRule="auto"/>
        <w:ind w:left="-142" w:firstLine="0"/>
        <w:jc w:val="both"/>
        <w:rPr>
          <w:rFonts w:ascii="Arial" w:hAnsi="Arial" w:cs="Arial"/>
          <w:b/>
          <w:bCs/>
          <w:sz w:val="24"/>
          <w:szCs w:val="24"/>
        </w:rPr>
      </w:pPr>
      <w:r>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medicamento fornecido, para que seja substituído, reparado ou corrigido</w:t>
      </w:r>
    </w:p>
    <w:p w14:paraId="560D763F">
      <w:pPr>
        <w:numPr>
          <w:ilvl w:val="2"/>
          <w:numId w:val="14"/>
        </w:numPr>
        <w:spacing w:line="360" w:lineRule="auto"/>
        <w:ind w:left="-142" w:firstLine="0"/>
        <w:jc w:val="both"/>
        <w:rPr>
          <w:rFonts w:ascii="Arial" w:hAnsi="Arial" w:cs="Arial"/>
          <w:b/>
          <w:bCs/>
          <w:sz w:val="24"/>
          <w:szCs w:val="24"/>
        </w:rPr>
      </w:pPr>
      <w:r>
        <w:rPr>
          <w:rFonts w:ascii="Arial" w:hAnsi="Arial" w:cs="Arial"/>
          <w:sz w:val="24"/>
          <w:szCs w:val="24"/>
        </w:rPr>
        <w:t>Efetuar o pagamento à Contratada no valor correspondente ao fornecimento do objeto, no prazo e forma estabelecidos no Edital e seus anexos;</w:t>
      </w:r>
    </w:p>
    <w:p w14:paraId="3EAD2C80">
      <w:pPr>
        <w:spacing w:line="360" w:lineRule="auto"/>
        <w:ind w:left="-142"/>
        <w:jc w:val="both"/>
        <w:rPr>
          <w:rFonts w:ascii="Arial" w:hAnsi="Arial" w:cs="Arial"/>
          <w:b/>
          <w:bCs/>
          <w:sz w:val="24"/>
          <w:szCs w:val="24"/>
        </w:rPr>
      </w:pPr>
    </w:p>
    <w:p w14:paraId="727C3A98">
      <w:pPr>
        <w:numPr>
          <w:ilvl w:val="1"/>
          <w:numId w:val="14"/>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18E432DB">
      <w:pPr>
        <w:spacing w:line="360" w:lineRule="auto"/>
        <w:ind w:left="-142"/>
        <w:jc w:val="both"/>
        <w:rPr>
          <w:rFonts w:ascii="Arial" w:hAnsi="Arial" w:cs="Arial"/>
          <w:b/>
          <w:bCs/>
          <w:sz w:val="24"/>
          <w:szCs w:val="24"/>
        </w:rPr>
      </w:pPr>
    </w:p>
    <w:p w14:paraId="14243E0C">
      <w:pPr>
        <w:numPr>
          <w:ilvl w:val="2"/>
          <w:numId w:val="14"/>
        </w:numPr>
        <w:spacing w:line="360" w:lineRule="auto"/>
        <w:ind w:left="-142" w:firstLine="0"/>
        <w:jc w:val="both"/>
        <w:rPr>
          <w:rFonts w:ascii="Arial" w:hAnsi="Arial" w:cs="Arial"/>
          <w:sz w:val="24"/>
          <w:szCs w:val="24"/>
        </w:rPr>
      </w:pPr>
      <w:r>
        <w:rPr>
          <w:rFonts w:ascii="Arial" w:hAnsi="Arial" w:cs="Arial"/>
          <w:sz w:val="24"/>
          <w:szCs w:val="24"/>
        </w:rPr>
        <w:t>A Contratada deve cumprir todas as obrigações constantes da proposta.</w:t>
      </w:r>
    </w:p>
    <w:p w14:paraId="148CF191">
      <w:pPr>
        <w:numPr>
          <w:ilvl w:val="2"/>
          <w:numId w:val="14"/>
        </w:numPr>
        <w:spacing w:line="360" w:lineRule="auto"/>
        <w:ind w:left="-142" w:firstLine="0"/>
        <w:jc w:val="both"/>
        <w:rPr>
          <w:rFonts w:ascii="Arial" w:hAnsi="Arial" w:cs="Arial"/>
          <w:sz w:val="24"/>
          <w:szCs w:val="24"/>
        </w:rPr>
      </w:pPr>
      <w:r>
        <w:rPr>
          <w:rFonts w:ascii="Arial" w:hAnsi="Arial" w:cs="Arial"/>
          <w:sz w:val="24"/>
          <w:szCs w:val="24"/>
        </w:rPr>
        <w:t>Efetuar a entrega do medicamento em perfeitas condições, conforme especificações, prazo e local constantes no presente termo de referência, acompanhado da respectiva nota fiscal, na qual constarão as indicações referentes a laboratório e dosagem, além do número do pedido que deve constar nas observações da nota.</w:t>
      </w:r>
    </w:p>
    <w:p w14:paraId="1B0DA320">
      <w:pPr>
        <w:numPr>
          <w:ilvl w:val="2"/>
          <w:numId w:val="14"/>
        </w:numPr>
        <w:spacing w:line="360" w:lineRule="auto"/>
        <w:ind w:left="-142" w:firstLine="0"/>
        <w:jc w:val="both"/>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65926535">
      <w:pPr>
        <w:numPr>
          <w:ilvl w:val="2"/>
          <w:numId w:val="14"/>
        </w:numPr>
        <w:spacing w:line="360" w:lineRule="auto"/>
        <w:ind w:left="-142" w:firstLine="0"/>
        <w:jc w:val="both"/>
        <w:rPr>
          <w:rFonts w:ascii="Arial" w:hAnsi="Arial" w:cs="Arial"/>
          <w:sz w:val="24"/>
          <w:szCs w:val="24"/>
        </w:rPr>
      </w:pPr>
      <w:r>
        <w:rPr>
          <w:rFonts w:ascii="Arial" w:hAnsi="Arial" w:cs="Arial"/>
          <w:sz w:val="24"/>
          <w:szCs w:val="24"/>
        </w:rPr>
        <w:t>Comunicar à Contratante, no prazo máximo de 24 (vinte e quatro) horas que antecede a data da entrega, os motivos que impossibilitem o cumprimento do prazo previsto, com a devida comprovação;</w:t>
      </w:r>
    </w:p>
    <w:p w14:paraId="1C40158B">
      <w:pPr>
        <w:numPr>
          <w:ilvl w:val="2"/>
          <w:numId w:val="14"/>
        </w:numPr>
        <w:spacing w:line="360" w:lineRule="auto"/>
        <w:ind w:left="-142" w:firstLine="0"/>
        <w:jc w:val="both"/>
        <w:rPr>
          <w:rFonts w:ascii="Arial" w:hAnsi="Arial" w:cs="Arial"/>
          <w:sz w:val="24"/>
          <w:szCs w:val="24"/>
        </w:rPr>
      </w:pPr>
      <w:r>
        <w:rPr>
          <w:rFonts w:ascii="Arial" w:hAnsi="Arial" w:cs="Arial"/>
          <w:sz w:val="24"/>
          <w:szCs w:val="24"/>
        </w:rPr>
        <w:t>Entregar o medicamento de acordo com a emissão do pedido de compra.</w:t>
      </w:r>
    </w:p>
    <w:p w14:paraId="42E5BCEA">
      <w:pPr>
        <w:numPr>
          <w:ilvl w:val="2"/>
          <w:numId w:val="14"/>
        </w:numPr>
        <w:spacing w:line="360" w:lineRule="auto"/>
        <w:ind w:left="-142" w:firstLine="0"/>
        <w:jc w:val="both"/>
        <w:rPr>
          <w:rFonts w:ascii="Arial" w:hAnsi="Arial" w:cs="Arial"/>
          <w:sz w:val="24"/>
          <w:szCs w:val="24"/>
        </w:rPr>
      </w:pPr>
      <w:r>
        <w:rPr>
          <w:rFonts w:ascii="Arial" w:hAnsi="Arial" w:cs="Arial"/>
          <w:sz w:val="24"/>
          <w:szCs w:val="24"/>
        </w:rPr>
        <w:t>Os medicamentos devem estar com validade de no mínimo 12 meses a data de entrega.</w:t>
      </w:r>
    </w:p>
    <w:p w14:paraId="63A719E3">
      <w:pPr>
        <w:spacing w:line="360" w:lineRule="auto"/>
        <w:ind w:left="-567" w:right="-708" w:firstLine="709"/>
        <w:jc w:val="both"/>
        <w:rPr>
          <w:rFonts w:ascii="Arial" w:hAnsi="Arial" w:eastAsia="Arial-BoldMT" w:cs="Arial"/>
          <w:b/>
          <w:bCs/>
          <w:sz w:val="24"/>
          <w:szCs w:val="24"/>
        </w:rPr>
      </w:pPr>
    </w:p>
    <w:p w14:paraId="0BA9195E">
      <w:pPr>
        <w:numPr>
          <w:ilvl w:val="0"/>
          <w:numId w:val="14"/>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532966E3">
      <w:pPr>
        <w:spacing w:line="360" w:lineRule="auto"/>
        <w:ind w:left="-567" w:right="-708" w:firstLine="709"/>
        <w:jc w:val="both"/>
        <w:rPr>
          <w:rFonts w:ascii="Arial" w:hAnsi="Arial" w:cs="Arial"/>
          <w:b/>
          <w:bCs/>
          <w:sz w:val="24"/>
          <w:szCs w:val="24"/>
        </w:rPr>
      </w:pPr>
    </w:p>
    <w:p w14:paraId="5189F41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contrato será executado em fases estruturadas para garantia de continuidade e segurança do tratamento. Inicia-se com a entrega do medicamento pelo fornecedor, em até 10 dias úteis após a assinatura, diretamente ao almoxarifado municipal, onde será realizado controle rigoroso de temperatura, luminosidade e acesso (conforme RDC 17/2010 da ANVISA). Mensalmente, a Secretaria de Saúde efetuará a dispensação ao paciente, mediante apresentação de documento de identidade e prescrição médica atualizada, com registro em livro próprio e emissão de recibo. Paralelamente, laudos clínicos trimestrais compilarão dados sobre eficácia terapêutica e eventuais ajustes posológicos, integrados ao prontuário único do SUS para monitoramento integral.</w:t>
      </w:r>
    </w:p>
    <w:p w14:paraId="72E7E213">
      <w:pPr>
        <w:spacing w:line="360" w:lineRule="auto"/>
        <w:ind w:left="-567" w:right="-708" w:firstLine="709"/>
        <w:jc w:val="both"/>
        <w:rPr>
          <w:rFonts w:ascii="Arial" w:hAnsi="Arial" w:eastAsia="Arial-BoldMT" w:cs="Arial"/>
          <w:sz w:val="24"/>
          <w:szCs w:val="24"/>
        </w:rPr>
      </w:pPr>
    </w:p>
    <w:p w14:paraId="20AD8C0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738E4C56">
      <w:pPr>
        <w:spacing w:line="360" w:lineRule="auto"/>
        <w:ind w:left="-567" w:right="-708" w:firstLine="709"/>
        <w:jc w:val="both"/>
        <w:rPr>
          <w:rFonts w:ascii="Arial" w:hAnsi="Arial" w:eastAsia="Arial-BoldMT" w:cs="Arial"/>
          <w:b/>
          <w:bCs/>
          <w:sz w:val="24"/>
          <w:szCs w:val="24"/>
        </w:rPr>
      </w:pPr>
    </w:p>
    <w:p w14:paraId="68BAB6D8">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7BA6015B">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 Secretário da Saúde</w:t>
      </w:r>
    </w:p>
    <w:p w14:paraId="02645FBA">
      <w:pPr>
        <w:spacing w:line="360" w:lineRule="auto"/>
        <w:ind w:right="-708"/>
        <w:jc w:val="both"/>
        <w:rPr>
          <w:rFonts w:ascii="Arial" w:hAnsi="Arial" w:eastAsia="Arial-BoldMT" w:cs="Arial"/>
          <w:sz w:val="24"/>
          <w:szCs w:val="24"/>
        </w:rPr>
      </w:pPr>
    </w:p>
    <w:p w14:paraId="2276DEA1">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5556378D">
      <w:pPr>
        <w:spacing w:line="360" w:lineRule="auto"/>
        <w:ind w:left="-567" w:right="-708" w:firstLine="709"/>
        <w:jc w:val="both"/>
        <w:rPr>
          <w:rFonts w:ascii="Arial" w:hAnsi="Arial" w:eastAsia="Arial-BoldMT" w:cs="Arial"/>
          <w:b/>
          <w:bCs/>
          <w:sz w:val="24"/>
          <w:szCs w:val="24"/>
        </w:rPr>
      </w:pPr>
    </w:p>
    <w:p w14:paraId="4152E97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medicamento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1D48821E">
      <w:pPr>
        <w:spacing w:line="360" w:lineRule="auto"/>
        <w:ind w:left="-567" w:right="-708" w:firstLine="709"/>
        <w:jc w:val="both"/>
        <w:rPr>
          <w:rFonts w:ascii="Arial" w:hAnsi="Arial" w:eastAsia="Arial-BoldMT" w:cs="Arial"/>
          <w:sz w:val="24"/>
          <w:szCs w:val="24"/>
        </w:rPr>
      </w:pPr>
    </w:p>
    <w:p w14:paraId="454EADD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BE28C0A">
      <w:pPr>
        <w:spacing w:line="360" w:lineRule="auto"/>
        <w:ind w:left="-567" w:right="-708" w:firstLine="709"/>
        <w:jc w:val="both"/>
        <w:rPr>
          <w:rFonts w:ascii="Arial" w:hAnsi="Arial" w:eastAsia="Arial-BoldMT" w:cs="Arial"/>
          <w:b/>
          <w:bCs/>
          <w:sz w:val="24"/>
          <w:szCs w:val="24"/>
        </w:rPr>
      </w:pPr>
    </w:p>
    <w:p w14:paraId="4AA39779">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0DDBD09B">
      <w:pPr>
        <w:spacing w:line="360" w:lineRule="auto"/>
        <w:ind w:left="-567" w:right="-708" w:firstLine="709"/>
        <w:jc w:val="both"/>
        <w:rPr>
          <w:rFonts w:ascii="Arial" w:hAnsi="Arial" w:eastAsia="Arial-BoldMT" w:cs="Arial"/>
          <w:sz w:val="24"/>
          <w:szCs w:val="24"/>
        </w:rPr>
      </w:pPr>
    </w:p>
    <w:p w14:paraId="44F0DAC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6BF9702">
      <w:pPr>
        <w:spacing w:line="360" w:lineRule="auto"/>
        <w:ind w:left="-567" w:right="-708" w:firstLine="709"/>
        <w:jc w:val="both"/>
        <w:rPr>
          <w:rFonts w:ascii="Arial" w:hAnsi="Arial" w:eastAsia="Arial-BoldMT" w:cs="Arial"/>
          <w:b/>
          <w:bCs/>
          <w:sz w:val="24"/>
          <w:szCs w:val="24"/>
        </w:rPr>
      </w:pPr>
    </w:p>
    <w:p w14:paraId="2D78C4F1">
      <w:pPr>
        <w:spacing w:line="360" w:lineRule="auto"/>
        <w:ind w:left="-567" w:right="-708" w:firstLine="709"/>
        <w:jc w:val="both"/>
        <w:rPr>
          <w:rFonts w:ascii="Arial" w:hAnsi="Arial" w:eastAsia="Arial-BoldMT" w:cs="Arial"/>
          <w:b/>
          <w:bCs/>
          <w:sz w:val="24"/>
          <w:szCs w:val="24"/>
        </w:rPr>
      </w:pPr>
    </w:p>
    <w:tbl>
      <w:tblPr>
        <w:tblStyle w:val="7"/>
        <w:tblW w:w="9260" w:type="dxa"/>
        <w:tblInd w:w="80" w:type="dxa"/>
        <w:tblLayout w:type="autofit"/>
        <w:tblCellMar>
          <w:top w:w="0" w:type="dxa"/>
          <w:left w:w="70" w:type="dxa"/>
          <w:bottom w:w="0" w:type="dxa"/>
          <w:right w:w="70" w:type="dxa"/>
        </w:tblCellMar>
      </w:tblPr>
      <w:tblGrid>
        <w:gridCol w:w="955"/>
        <w:gridCol w:w="955"/>
        <w:gridCol w:w="956"/>
        <w:gridCol w:w="3263"/>
        <w:gridCol w:w="1712"/>
        <w:gridCol w:w="1717"/>
      </w:tblGrid>
      <w:tr w14:paraId="3BEB57E5">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2A5A856">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73F25D59">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163164C5">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32FD062D">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shd w:val="clear" w:color="auto" w:fill="auto"/>
            <w:noWrap/>
            <w:vAlign w:val="center"/>
          </w:tcPr>
          <w:p w14:paraId="22D0FB19">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380" w:type="dxa"/>
            <w:tcBorders>
              <w:top w:val="single" w:color="auto" w:sz="8" w:space="0"/>
              <w:left w:val="nil"/>
              <w:bottom w:val="single" w:color="auto" w:sz="8" w:space="0"/>
              <w:right w:val="single" w:color="auto" w:sz="8" w:space="0"/>
            </w:tcBorders>
            <w:shd w:val="clear" w:color="auto" w:fill="auto"/>
            <w:noWrap/>
            <w:vAlign w:val="center"/>
          </w:tcPr>
          <w:p w14:paraId="17335FB0">
            <w:pPr>
              <w:suppressAutoHyphens w:val="0"/>
              <w:rPr>
                <w:rFonts w:ascii="Arial" w:hAnsi="Arial" w:cs="Arial"/>
                <w:b/>
                <w:bCs/>
                <w:color w:val="000000"/>
                <w:lang w:eastAsia="pt-BR"/>
              </w:rPr>
            </w:pPr>
            <w:r>
              <w:rPr>
                <w:rFonts w:ascii="Arial" w:hAnsi="Arial" w:cs="Arial"/>
                <w:b/>
                <w:bCs/>
                <w:color w:val="000000"/>
                <w:lang w:eastAsia="pt-BR"/>
              </w:rPr>
              <w:t>VALOR TOTAL</w:t>
            </w:r>
          </w:p>
        </w:tc>
      </w:tr>
      <w:tr w14:paraId="3077D089">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3E60BAB7">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525BC03F">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32BED61D">
            <w:pPr>
              <w:suppressAutoHyphens w:val="0"/>
              <w:jc w:val="right"/>
              <w:rPr>
                <w:rFonts w:ascii="Arial" w:hAnsi="Arial" w:cs="Arial"/>
                <w:color w:val="000000"/>
                <w:lang w:eastAsia="pt-BR"/>
              </w:rPr>
            </w:pPr>
            <w:r>
              <w:rPr>
                <w:rFonts w:ascii="Arial" w:hAnsi="Arial" w:cs="Arial"/>
                <w:color w:val="000000"/>
                <w:lang w:eastAsia="pt-BR"/>
              </w:rPr>
              <w:t>4</w:t>
            </w:r>
          </w:p>
        </w:tc>
        <w:tc>
          <w:tcPr>
            <w:tcW w:w="3280" w:type="dxa"/>
            <w:tcBorders>
              <w:top w:val="nil"/>
              <w:left w:val="nil"/>
              <w:bottom w:val="single" w:color="auto" w:sz="8" w:space="0"/>
              <w:right w:val="single" w:color="auto" w:sz="8" w:space="0"/>
            </w:tcBorders>
            <w:shd w:val="clear" w:color="auto" w:fill="auto"/>
            <w:noWrap/>
            <w:vAlign w:val="center"/>
          </w:tcPr>
          <w:p w14:paraId="0D8CA44A">
            <w:pPr>
              <w:suppressAutoHyphens w:val="0"/>
              <w:rPr>
                <w:rFonts w:ascii="Arial" w:hAnsi="Arial" w:cs="Arial"/>
                <w:color w:val="000000"/>
                <w:lang w:eastAsia="pt-BR"/>
              </w:rPr>
            </w:pPr>
            <w:r>
              <w:rPr>
                <w:rFonts w:ascii="Arial" w:hAnsi="Arial" w:cs="Arial"/>
                <w:color w:val="000000"/>
                <w:lang w:eastAsia="pt-BR"/>
              </w:rPr>
              <w:t>Mounjaro (tirzepatida) 2,5MG</w:t>
            </w:r>
          </w:p>
        </w:tc>
        <w:tc>
          <w:tcPr>
            <w:tcW w:w="1720" w:type="dxa"/>
            <w:tcBorders>
              <w:top w:val="nil"/>
              <w:left w:val="nil"/>
              <w:bottom w:val="single" w:color="auto" w:sz="8" w:space="0"/>
              <w:right w:val="single" w:color="auto" w:sz="8" w:space="0"/>
            </w:tcBorders>
            <w:shd w:val="clear" w:color="auto" w:fill="auto"/>
            <w:noWrap/>
            <w:vAlign w:val="center"/>
          </w:tcPr>
          <w:p w14:paraId="11DDD781">
            <w:pPr>
              <w:suppressAutoHyphens w:val="0"/>
              <w:jc w:val="right"/>
              <w:rPr>
                <w:rFonts w:ascii="Arial" w:hAnsi="Arial" w:cs="Arial"/>
                <w:color w:val="000000"/>
                <w:lang w:eastAsia="pt-BR"/>
              </w:rPr>
            </w:pPr>
            <w:r>
              <w:rPr>
                <w:rFonts w:ascii="Arial" w:hAnsi="Arial" w:cs="Arial"/>
                <w:color w:val="000000"/>
                <w:lang w:eastAsia="pt-BR"/>
              </w:rPr>
              <w:t>R$ 1.907,29</w:t>
            </w:r>
          </w:p>
        </w:tc>
        <w:tc>
          <w:tcPr>
            <w:tcW w:w="1380" w:type="dxa"/>
            <w:tcBorders>
              <w:top w:val="nil"/>
              <w:left w:val="nil"/>
              <w:bottom w:val="single" w:color="auto" w:sz="8" w:space="0"/>
              <w:right w:val="single" w:color="auto" w:sz="8" w:space="0"/>
            </w:tcBorders>
            <w:shd w:val="clear" w:color="auto" w:fill="auto"/>
            <w:noWrap/>
            <w:vAlign w:val="center"/>
          </w:tcPr>
          <w:p w14:paraId="5BE254D0">
            <w:pPr>
              <w:suppressAutoHyphens w:val="0"/>
              <w:jc w:val="right"/>
              <w:rPr>
                <w:rFonts w:ascii="Arial" w:hAnsi="Arial" w:cs="Arial"/>
                <w:color w:val="000000"/>
                <w:lang w:eastAsia="pt-BR"/>
              </w:rPr>
            </w:pPr>
            <w:r>
              <w:rPr>
                <w:rFonts w:ascii="Arial" w:hAnsi="Arial" w:cs="Arial"/>
                <w:color w:val="000000"/>
                <w:lang w:eastAsia="pt-BR"/>
              </w:rPr>
              <w:t>R$ 7.629,16</w:t>
            </w:r>
          </w:p>
        </w:tc>
      </w:tr>
      <w:tr w14:paraId="48FBAE48">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20B18483">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1FD90D9E">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5ACD879B">
            <w:pPr>
              <w:suppressAutoHyphens w:val="0"/>
              <w:jc w:val="right"/>
              <w:rPr>
                <w:rFonts w:ascii="Arial" w:hAnsi="Arial" w:cs="Arial"/>
                <w:color w:val="000000"/>
                <w:lang w:eastAsia="pt-BR"/>
              </w:rPr>
            </w:pPr>
            <w:r>
              <w:rPr>
                <w:rFonts w:ascii="Arial" w:hAnsi="Arial" w:cs="Arial"/>
                <w:color w:val="000000"/>
                <w:lang w:eastAsia="pt-BR"/>
              </w:rPr>
              <w:t>13</w:t>
            </w:r>
          </w:p>
        </w:tc>
        <w:tc>
          <w:tcPr>
            <w:tcW w:w="3280" w:type="dxa"/>
            <w:tcBorders>
              <w:top w:val="nil"/>
              <w:left w:val="nil"/>
              <w:bottom w:val="single" w:color="auto" w:sz="8" w:space="0"/>
              <w:right w:val="single" w:color="auto" w:sz="8" w:space="0"/>
            </w:tcBorders>
            <w:shd w:val="clear" w:color="auto" w:fill="auto"/>
            <w:noWrap/>
            <w:vAlign w:val="center"/>
          </w:tcPr>
          <w:p w14:paraId="2C0A0BA8">
            <w:pPr>
              <w:suppressAutoHyphens w:val="0"/>
              <w:rPr>
                <w:rFonts w:ascii="Arial" w:hAnsi="Arial" w:cs="Arial"/>
                <w:color w:val="000000"/>
                <w:lang w:eastAsia="pt-BR"/>
              </w:rPr>
            </w:pPr>
            <w:r>
              <w:rPr>
                <w:rFonts w:ascii="Arial" w:hAnsi="Arial" w:cs="Arial"/>
                <w:color w:val="000000"/>
                <w:lang w:eastAsia="pt-BR"/>
              </w:rPr>
              <w:t>Mounjaro (tirzepatida) 5MG</w:t>
            </w:r>
          </w:p>
        </w:tc>
        <w:tc>
          <w:tcPr>
            <w:tcW w:w="1720" w:type="dxa"/>
            <w:tcBorders>
              <w:top w:val="nil"/>
              <w:left w:val="nil"/>
              <w:bottom w:val="single" w:color="auto" w:sz="8" w:space="0"/>
              <w:right w:val="single" w:color="auto" w:sz="8" w:space="0"/>
            </w:tcBorders>
            <w:shd w:val="clear" w:color="auto" w:fill="auto"/>
            <w:noWrap/>
            <w:vAlign w:val="center"/>
          </w:tcPr>
          <w:p w14:paraId="03D4110A">
            <w:pPr>
              <w:suppressAutoHyphens w:val="0"/>
              <w:jc w:val="right"/>
              <w:rPr>
                <w:rFonts w:ascii="Arial" w:hAnsi="Arial" w:cs="Arial"/>
                <w:color w:val="000000"/>
                <w:lang w:eastAsia="pt-BR"/>
              </w:rPr>
            </w:pPr>
            <w:r>
              <w:rPr>
                <w:rFonts w:ascii="Arial" w:hAnsi="Arial" w:cs="Arial"/>
                <w:color w:val="000000"/>
                <w:lang w:eastAsia="pt-BR"/>
              </w:rPr>
              <w:t>R$ 2.384,34</w:t>
            </w:r>
          </w:p>
        </w:tc>
        <w:tc>
          <w:tcPr>
            <w:tcW w:w="1380" w:type="dxa"/>
            <w:tcBorders>
              <w:top w:val="nil"/>
              <w:left w:val="nil"/>
              <w:bottom w:val="single" w:color="auto" w:sz="8" w:space="0"/>
              <w:right w:val="single" w:color="auto" w:sz="8" w:space="0"/>
            </w:tcBorders>
            <w:shd w:val="clear" w:color="auto" w:fill="auto"/>
            <w:noWrap/>
            <w:vAlign w:val="center"/>
          </w:tcPr>
          <w:p w14:paraId="64A35F9B">
            <w:pPr>
              <w:suppressAutoHyphens w:val="0"/>
              <w:jc w:val="right"/>
              <w:rPr>
                <w:rFonts w:ascii="Arial" w:hAnsi="Arial" w:cs="Arial"/>
                <w:color w:val="000000"/>
                <w:lang w:eastAsia="pt-BR"/>
              </w:rPr>
            </w:pPr>
            <w:r>
              <w:rPr>
                <w:rFonts w:ascii="Arial" w:hAnsi="Arial" w:cs="Arial"/>
                <w:color w:val="000000"/>
                <w:lang w:eastAsia="pt-BR"/>
              </w:rPr>
              <w:t>R$ 30.996,42</w:t>
            </w:r>
          </w:p>
        </w:tc>
      </w:tr>
      <w:tr w14:paraId="425B5AFF">
        <w:tblPrEx>
          <w:tblCellMar>
            <w:top w:w="0" w:type="dxa"/>
            <w:left w:w="70" w:type="dxa"/>
            <w:bottom w:w="0" w:type="dxa"/>
            <w:right w:w="70" w:type="dxa"/>
          </w:tblCellMar>
        </w:tblPrEx>
        <w:trPr>
          <w:trHeight w:val="300" w:hRule="atLeast"/>
        </w:trPr>
        <w:tc>
          <w:tcPr>
            <w:tcW w:w="960" w:type="dxa"/>
            <w:tcBorders>
              <w:top w:val="nil"/>
              <w:left w:val="nil"/>
              <w:bottom w:val="nil"/>
              <w:right w:val="nil"/>
            </w:tcBorders>
            <w:shd w:val="clear" w:color="auto" w:fill="auto"/>
            <w:noWrap/>
            <w:vAlign w:val="bottom"/>
          </w:tcPr>
          <w:p w14:paraId="60FC32E4">
            <w:pPr>
              <w:suppressAutoHyphens w:val="0"/>
              <w:jc w:val="right"/>
              <w:rPr>
                <w:rFonts w:ascii="Arial" w:hAnsi="Arial" w:cs="Arial"/>
                <w:color w:val="000000"/>
                <w:lang w:eastAsia="pt-BR"/>
              </w:rPr>
            </w:pPr>
          </w:p>
        </w:tc>
        <w:tc>
          <w:tcPr>
            <w:tcW w:w="960" w:type="dxa"/>
            <w:tcBorders>
              <w:top w:val="nil"/>
              <w:left w:val="nil"/>
              <w:bottom w:val="nil"/>
              <w:right w:val="nil"/>
            </w:tcBorders>
            <w:shd w:val="clear" w:color="auto" w:fill="auto"/>
            <w:noWrap/>
            <w:vAlign w:val="bottom"/>
          </w:tcPr>
          <w:p w14:paraId="14B46BF4">
            <w:pPr>
              <w:suppressAutoHyphens w:val="0"/>
              <w:rPr>
                <w:lang w:eastAsia="pt-BR"/>
              </w:rPr>
            </w:pPr>
          </w:p>
        </w:tc>
        <w:tc>
          <w:tcPr>
            <w:tcW w:w="960" w:type="dxa"/>
            <w:tcBorders>
              <w:top w:val="nil"/>
              <w:left w:val="nil"/>
              <w:bottom w:val="nil"/>
              <w:right w:val="nil"/>
            </w:tcBorders>
            <w:shd w:val="clear" w:color="auto" w:fill="auto"/>
            <w:noWrap/>
            <w:vAlign w:val="bottom"/>
          </w:tcPr>
          <w:p w14:paraId="565F64C9">
            <w:pPr>
              <w:suppressAutoHyphens w:val="0"/>
              <w:rPr>
                <w:lang w:eastAsia="pt-BR"/>
              </w:rPr>
            </w:pPr>
          </w:p>
        </w:tc>
        <w:tc>
          <w:tcPr>
            <w:tcW w:w="3280" w:type="dxa"/>
            <w:tcBorders>
              <w:top w:val="nil"/>
              <w:left w:val="nil"/>
              <w:bottom w:val="nil"/>
              <w:right w:val="nil"/>
            </w:tcBorders>
            <w:shd w:val="clear" w:color="auto" w:fill="auto"/>
            <w:noWrap/>
            <w:vAlign w:val="bottom"/>
          </w:tcPr>
          <w:p w14:paraId="2ED51684">
            <w:pPr>
              <w:suppressAutoHyphens w:val="0"/>
              <w:rPr>
                <w:lang w:eastAsia="pt-BR"/>
              </w:rPr>
            </w:pPr>
          </w:p>
        </w:tc>
        <w:tc>
          <w:tcPr>
            <w:tcW w:w="1720" w:type="dxa"/>
            <w:tcBorders>
              <w:top w:val="nil"/>
              <w:left w:val="nil"/>
              <w:bottom w:val="nil"/>
              <w:right w:val="nil"/>
            </w:tcBorders>
            <w:shd w:val="clear" w:color="auto" w:fill="auto"/>
            <w:noWrap/>
            <w:vAlign w:val="bottom"/>
          </w:tcPr>
          <w:p w14:paraId="1A1855D4">
            <w:pPr>
              <w:suppressAutoHyphens w:val="0"/>
              <w:rPr>
                <w:lang w:eastAsia="pt-BR"/>
              </w:rPr>
            </w:pPr>
          </w:p>
        </w:tc>
        <w:tc>
          <w:tcPr>
            <w:tcW w:w="1380" w:type="dxa"/>
            <w:tcBorders>
              <w:top w:val="nil"/>
              <w:left w:val="nil"/>
              <w:bottom w:val="nil"/>
              <w:right w:val="nil"/>
            </w:tcBorders>
            <w:shd w:val="clear" w:color="auto" w:fill="auto"/>
            <w:noWrap/>
            <w:vAlign w:val="bottom"/>
          </w:tcPr>
          <w:p w14:paraId="21E36B0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R$ 38.625,58</w:t>
            </w:r>
          </w:p>
        </w:tc>
      </w:tr>
    </w:tbl>
    <w:p w14:paraId="440CB6D5">
      <w:pPr>
        <w:spacing w:line="360" w:lineRule="auto"/>
        <w:ind w:right="-708" w:firstLine="709"/>
        <w:jc w:val="both"/>
        <w:rPr>
          <w:rFonts w:ascii="Arial" w:hAnsi="Arial" w:cs="Arial"/>
          <w:b/>
          <w:bCs/>
          <w:sz w:val="24"/>
          <w:szCs w:val="24"/>
        </w:rPr>
      </w:pPr>
    </w:p>
    <w:p w14:paraId="384B0398">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1F8EDB3D">
      <w:pPr>
        <w:suppressAutoHyphens w:val="0"/>
        <w:spacing w:line="360" w:lineRule="auto"/>
        <w:ind w:left="-993" w:right="-853" w:firstLine="1135"/>
        <w:jc w:val="both"/>
        <w:rPr>
          <w:rFonts w:ascii="Arial" w:hAnsi="Arial" w:cs="Arial"/>
          <w:b/>
          <w:bCs/>
          <w:sz w:val="24"/>
          <w:szCs w:val="24"/>
        </w:rPr>
      </w:pPr>
    </w:p>
    <w:p w14:paraId="79E0EE8D">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 xml:space="preserve">RECURSO MUNICIPAL / ESTADUAL / FEDERAL </w:t>
      </w:r>
    </w:p>
    <w:p w14:paraId="7D8A0963">
      <w:pPr>
        <w:suppressAutoHyphens w:val="0"/>
        <w:spacing w:line="360" w:lineRule="auto"/>
        <w:ind w:left="1985" w:right="-853" w:hanging="1843"/>
        <w:jc w:val="both"/>
        <w:rPr>
          <w:rFonts w:ascii="Arial" w:hAnsi="Arial" w:cs="Arial"/>
          <w:b/>
          <w:bCs/>
          <w:sz w:val="22"/>
          <w:szCs w:val="22"/>
        </w:rPr>
      </w:pPr>
    </w:p>
    <w:p w14:paraId="1AADD905">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6E4C2A37">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6646788A">
      <w:pPr>
        <w:numPr>
          <w:ilvl w:val="0"/>
          <w:numId w:val="2"/>
        </w:numPr>
        <w:suppressAutoHyphens w:val="0"/>
        <w:spacing w:line="360" w:lineRule="auto"/>
        <w:ind w:left="1985" w:right="-853" w:hanging="1843"/>
        <w:jc w:val="both"/>
        <w:rPr>
          <w:rFonts w:ascii="Arial" w:hAnsi="Arial" w:cs="Arial"/>
          <w:sz w:val="22"/>
          <w:szCs w:val="22"/>
        </w:rPr>
      </w:pPr>
    </w:p>
    <w:p w14:paraId="139BA643">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259</w:t>
      </w:r>
    </w:p>
    <w:p w14:paraId="05E4653D">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66D9FE08">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sz w:val="22"/>
          <w:szCs w:val="22"/>
        </w:rPr>
        <w:t>MATERIAL, BEM OU SERVIÇO PARA DISTRIBUIÇÃO GRATUITA</w:t>
      </w:r>
    </w:p>
    <w:p w14:paraId="1347DCDC">
      <w:pPr>
        <w:numPr>
          <w:ilvl w:val="0"/>
          <w:numId w:val="2"/>
        </w:numPr>
        <w:suppressAutoHyphens w:val="0"/>
        <w:spacing w:line="360" w:lineRule="auto"/>
        <w:ind w:left="1985" w:right="-853" w:hanging="1843"/>
        <w:jc w:val="both"/>
        <w:rPr>
          <w:rFonts w:ascii="Arial" w:hAnsi="Arial" w:cs="Arial"/>
          <w:b/>
          <w:bCs/>
          <w:sz w:val="22"/>
          <w:szCs w:val="22"/>
        </w:rPr>
      </w:pPr>
    </w:p>
    <w:p w14:paraId="5C11BD69">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260</w:t>
      </w:r>
    </w:p>
    <w:p w14:paraId="43635CED">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39AC1981">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4B0B0012">
      <w:pPr>
        <w:numPr>
          <w:ilvl w:val="0"/>
          <w:numId w:val="2"/>
        </w:numPr>
        <w:suppressAutoHyphens w:val="0"/>
        <w:spacing w:line="360" w:lineRule="auto"/>
        <w:ind w:left="1985" w:right="-853" w:hanging="1843"/>
        <w:jc w:val="both"/>
        <w:rPr>
          <w:rFonts w:ascii="Arial" w:hAnsi="Arial" w:cs="Arial"/>
          <w:sz w:val="22"/>
          <w:szCs w:val="22"/>
        </w:rPr>
      </w:pPr>
    </w:p>
    <w:p w14:paraId="605DB150">
      <w:pPr>
        <w:numPr>
          <w:ilvl w:val="0"/>
          <w:numId w:val="2"/>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270</w:t>
      </w:r>
    </w:p>
    <w:p w14:paraId="2270867E">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10.301.0034.2015.00163.3.90.32.00 </w:t>
      </w:r>
    </w:p>
    <w:p w14:paraId="325A8D36">
      <w:pPr>
        <w:numPr>
          <w:ilvl w:val="0"/>
          <w:numId w:val="2"/>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53CFA8C5">
      <w:pPr>
        <w:spacing w:line="360" w:lineRule="auto"/>
        <w:ind w:right="-708"/>
        <w:jc w:val="both"/>
        <w:rPr>
          <w:rFonts w:ascii="Arial" w:hAnsi="Arial" w:cs="Arial"/>
          <w:sz w:val="22"/>
          <w:szCs w:val="22"/>
        </w:rPr>
      </w:pPr>
    </w:p>
    <w:p w14:paraId="76AE962F">
      <w:pPr>
        <w:spacing w:line="360" w:lineRule="auto"/>
        <w:ind w:right="-708"/>
        <w:jc w:val="both"/>
        <w:rPr>
          <w:rFonts w:ascii="Arial" w:hAnsi="Arial" w:eastAsia="Arial-BoldMT" w:cs="Arial"/>
          <w:b/>
          <w:bCs/>
          <w:sz w:val="24"/>
          <w:szCs w:val="24"/>
        </w:rPr>
      </w:pPr>
    </w:p>
    <w:p w14:paraId="628EE40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4E85AB2F">
      <w:pPr>
        <w:spacing w:line="360" w:lineRule="auto"/>
        <w:ind w:left="-567" w:right="-708" w:firstLine="709"/>
        <w:jc w:val="both"/>
        <w:rPr>
          <w:rFonts w:ascii="Arial" w:hAnsi="Arial" w:eastAsia="Arial-BoldMT" w:cs="Arial"/>
          <w:b/>
          <w:bCs/>
          <w:sz w:val="24"/>
          <w:szCs w:val="24"/>
        </w:rPr>
      </w:pPr>
    </w:p>
    <w:p w14:paraId="249879EE">
      <w:pPr>
        <w:spacing w:line="360" w:lineRule="auto"/>
        <w:ind w:left="-426" w:right="-708"/>
        <w:jc w:val="both"/>
        <w:rPr>
          <w:rFonts w:ascii="Arial" w:hAnsi="Arial" w:eastAsia="Arial-BoldMT" w:cs="Arial"/>
          <w:sz w:val="24"/>
          <w:szCs w:val="24"/>
        </w:rPr>
      </w:pPr>
      <w:r>
        <w:rPr>
          <w:rFonts w:ascii="Arial" w:hAnsi="Arial" w:eastAsia="Arial-BoldMT" w:cs="Arial"/>
          <w:sz w:val="24"/>
          <w:szCs w:val="24"/>
        </w:rPr>
        <w:t>O medicamento Mounjaro® (tirzepatida), padronizado conforme Resolução RE 2.144/2025 da Anvisa, apresenta especificações técnicas rigorosas: composição com princípio ativo tirzepatida e excipientes (água para injetáveis, cloreto de sódio); apresentação em canetas pré-cheias de 0,5 mL (concentrações de 2,5 mg, 5 mg, 10 mg e 15 mg); armazenamento refrigerado (2°C a 8°C) com validade de 24 meses e estabilidade de 21 dias em temperatura ambiente (≤30°C); eficácia comprovada pelos estudos SURMOUNT-1 e SURMOUNT-2 (perda ponderal média de 15-22,5%); e controles legais que exigem prescrição em receita tipo B (RDC 973/2025), contraindicação para histórico de câncer medular de tireoide, e descarte conforme normas ambientais (RDC 306/2004), atendendo integralmente aos requisitos de qualidade, segurança e rastreabilidade previstos na Lei 14.133/2021 (Art. 22, § 1º).</w:t>
      </w:r>
    </w:p>
    <w:p w14:paraId="72509D3C">
      <w:pPr>
        <w:spacing w:line="360" w:lineRule="auto"/>
        <w:ind w:right="-708"/>
        <w:jc w:val="both"/>
        <w:rPr>
          <w:rFonts w:ascii="Arial" w:hAnsi="Arial" w:eastAsia="Arial-BoldMT" w:cs="Arial"/>
          <w:sz w:val="24"/>
          <w:szCs w:val="24"/>
        </w:rPr>
      </w:pPr>
      <w:r>
        <w:rPr>
          <w:rFonts w:ascii="Arial" w:hAnsi="Arial" w:eastAsia="Arial-BoldMT" w:cs="Arial"/>
          <w:sz w:val="24"/>
          <w:szCs w:val="24"/>
        </w:rPr>
        <w:t>.</w:t>
      </w:r>
    </w:p>
    <w:p w14:paraId="20088948">
      <w:pPr>
        <w:spacing w:line="360" w:lineRule="auto"/>
        <w:ind w:left="-567" w:right="-708" w:firstLine="709"/>
        <w:jc w:val="both"/>
        <w:rPr>
          <w:rFonts w:ascii="Arial" w:hAnsi="Arial" w:eastAsia="Arial-BoldMT" w:cs="Arial"/>
          <w:sz w:val="24"/>
          <w:szCs w:val="24"/>
        </w:rPr>
      </w:pPr>
    </w:p>
    <w:p w14:paraId="29B59BA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68EAD47D">
      <w:pPr>
        <w:spacing w:line="360" w:lineRule="auto"/>
        <w:ind w:left="-567" w:right="-708" w:firstLine="709"/>
        <w:jc w:val="both"/>
        <w:rPr>
          <w:rFonts w:ascii="Arial" w:hAnsi="Arial" w:eastAsia="Arial-BoldMT" w:cs="Arial"/>
          <w:sz w:val="24"/>
          <w:szCs w:val="24"/>
        </w:rPr>
      </w:pPr>
    </w:p>
    <w:p w14:paraId="7AE656A7">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14498C2F">
      <w:pPr>
        <w:spacing w:line="360" w:lineRule="auto"/>
        <w:ind w:left="-567" w:right="-428" w:firstLine="709"/>
        <w:jc w:val="both"/>
        <w:rPr>
          <w:rFonts w:ascii="Arial" w:hAnsi="Arial" w:eastAsia="Arial-BoldMT" w:cs="Arial"/>
          <w:sz w:val="24"/>
          <w:szCs w:val="24"/>
        </w:rPr>
      </w:pPr>
    </w:p>
    <w:p w14:paraId="4B1B7928">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15 dias após a emissão do pedido de compra</w:t>
      </w:r>
    </w:p>
    <w:p w14:paraId="75C429D6">
      <w:pPr>
        <w:spacing w:line="360" w:lineRule="auto"/>
        <w:ind w:left="-567" w:right="-708" w:firstLine="709"/>
        <w:jc w:val="both"/>
        <w:rPr>
          <w:rFonts w:ascii="Arial" w:hAnsi="Arial" w:eastAsia="Arial-BoldMT" w:cs="Arial"/>
          <w:sz w:val="24"/>
          <w:szCs w:val="24"/>
        </w:rPr>
      </w:pPr>
    </w:p>
    <w:p w14:paraId="5CC5D33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55BE58DF">
      <w:pPr>
        <w:spacing w:line="360" w:lineRule="auto"/>
        <w:ind w:left="-567" w:right="-708" w:firstLine="709"/>
        <w:jc w:val="both"/>
        <w:rPr>
          <w:rFonts w:ascii="Arial" w:hAnsi="Arial" w:eastAsia="Arial-BoldMT" w:cs="Arial"/>
          <w:b/>
          <w:bCs/>
          <w:sz w:val="24"/>
          <w:szCs w:val="24"/>
        </w:rPr>
      </w:pPr>
    </w:p>
    <w:p w14:paraId="7C07609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garantia exigida para o fornecimento do medicamento abrange a integridade e a eficácia do medicamento até a data de validade indicada pelo fabricante. Caso o medicamento apresente defeitos ou irregularidades durante o período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p>
    <w:p w14:paraId="09A1C807">
      <w:pPr>
        <w:spacing w:line="360" w:lineRule="auto"/>
        <w:ind w:left="-567" w:right="-708" w:firstLine="709"/>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39E13191">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2B9C87FB">
      <w:pPr>
        <w:spacing w:line="360" w:lineRule="auto"/>
        <w:ind w:right="-708"/>
        <w:jc w:val="both"/>
        <w:rPr>
          <w:rFonts w:ascii="Arial" w:hAnsi="Arial" w:eastAsia="Arial-BoldMT" w:cs="Arial"/>
          <w:b/>
          <w:bCs/>
          <w:sz w:val="24"/>
          <w:szCs w:val="24"/>
        </w:rPr>
      </w:pPr>
    </w:p>
    <w:p w14:paraId="3FCD9E7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4F8B5B5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698D900E">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04AAE4BE">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3B652CB3">
      <w:pPr>
        <w:spacing w:line="360" w:lineRule="auto"/>
        <w:ind w:right="-708"/>
        <w:jc w:val="both"/>
        <w:rPr>
          <w:rFonts w:ascii="Arial" w:hAnsi="Arial" w:cs="Arial"/>
          <w:sz w:val="24"/>
          <w:szCs w:val="24"/>
        </w:rPr>
      </w:pPr>
    </w:p>
    <w:p w14:paraId="1E715398">
      <w:pPr>
        <w:spacing w:line="360" w:lineRule="auto"/>
        <w:ind w:left="-567" w:right="-708" w:firstLine="709"/>
        <w:jc w:val="both"/>
        <w:rPr>
          <w:rFonts w:ascii="Arial" w:hAnsi="Arial" w:cs="Arial"/>
          <w:sz w:val="24"/>
          <w:szCs w:val="24"/>
        </w:rPr>
      </w:pPr>
      <w:r>
        <w:rPr>
          <w:rFonts w:ascii="Arial" w:hAnsi="Arial" w:cs="Arial"/>
          <w:sz w:val="24"/>
          <w:szCs w:val="24"/>
        </w:rPr>
        <w:t>Rifaina, 31 de Julho de 2025.</w:t>
      </w:r>
    </w:p>
    <w:p w14:paraId="0E725641">
      <w:pPr>
        <w:spacing w:line="360" w:lineRule="auto"/>
        <w:ind w:right="-708"/>
        <w:jc w:val="both"/>
        <w:rPr>
          <w:rFonts w:ascii="Arial" w:hAnsi="Arial" w:cs="Arial"/>
          <w:sz w:val="24"/>
          <w:szCs w:val="24"/>
        </w:rPr>
      </w:pPr>
    </w:p>
    <w:p w14:paraId="1B259424">
      <w:pPr>
        <w:spacing w:line="360" w:lineRule="auto"/>
        <w:ind w:right="-708"/>
        <w:jc w:val="both"/>
        <w:rPr>
          <w:rFonts w:ascii="Arial" w:hAnsi="Arial" w:cs="Arial"/>
          <w:sz w:val="24"/>
          <w:szCs w:val="24"/>
        </w:rPr>
        <w:sectPr>
          <w:headerReference r:id="rId6" w:type="default"/>
          <w:footerReference r:id="rId7" w:type="default"/>
          <w:pgSz w:w="11906" w:h="16838"/>
          <w:pgMar w:top="1418" w:right="1274" w:bottom="1134" w:left="1134" w:header="539" w:footer="533" w:gutter="0"/>
          <w:cols w:space="720" w:num="1"/>
          <w:docGrid w:linePitch="360" w:charSpace="0"/>
        </w:sectPr>
      </w:pPr>
    </w:p>
    <w:p w14:paraId="284819D3">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02BC0123">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4EF8C2D9">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36A69EBE">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57E3140E">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39D8912B">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419BC275">
      <w:pPr>
        <w:ind w:right="-708"/>
        <w:jc w:val="both"/>
        <w:rPr>
          <w:rFonts w:ascii="Arial" w:hAnsi="Arial" w:cs="Arial"/>
          <w:sz w:val="24"/>
          <w:szCs w:val="24"/>
        </w:rPr>
        <w:sectPr>
          <w:type w:val="continuous"/>
          <w:pgSz w:w="11906" w:h="16838"/>
          <w:pgMar w:top="1418" w:right="1274" w:bottom="1134" w:left="1134" w:header="539" w:footer="533" w:gutter="0"/>
          <w:cols w:space="720" w:num="2"/>
          <w:docGrid w:linePitch="360" w:charSpace="0"/>
        </w:sectPr>
      </w:pPr>
    </w:p>
    <w:p w14:paraId="0DA5B06A">
      <w:pPr>
        <w:jc w:val="both"/>
        <w:rPr>
          <w:rFonts w:ascii="Times New Roman" w:hAnsi="Times New Roman" w:cs="Times New Roman"/>
        </w:rPr>
      </w:pPr>
    </w:p>
    <w:p w14:paraId="65E98048">
      <w:pPr>
        <w:jc w:val="both"/>
        <w:rPr>
          <w:rFonts w:ascii="Times New Roman" w:hAnsi="Times New Roman" w:cs="Times New Roman"/>
        </w:rPr>
      </w:pPr>
    </w:p>
    <w:p w14:paraId="22C9C628">
      <w:pPr>
        <w:jc w:val="both"/>
        <w:rPr>
          <w:rFonts w:ascii="Times New Roman" w:hAnsi="Times New Roman" w:cs="Times New Roman"/>
        </w:rPr>
      </w:pP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117</w:t>
      </w:r>
      <w:r>
        <w:rPr>
          <w:rFonts w:ascii="Times New Roman" w:hAnsi="Times New Roman" w:cs="Times New Roman"/>
          <w:b/>
          <w:bCs/>
        </w:rPr>
        <w:t>/2025 PROCESSO ADM N°</w:t>
      </w:r>
      <w:r>
        <w:rPr>
          <w:rFonts w:hint="default" w:ascii="Times New Roman" w:hAnsi="Times New Roman" w:cs="Times New Roman"/>
          <w:b/>
          <w:bCs/>
          <w:lang w:val="pt-BR"/>
        </w:rPr>
        <w:t>346</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9B5FDDA">
      <w:pPr>
        <w:jc w:val="center"/>
        <w:rPr>
          <w:rFonts w:ascii="Arial" w:hAnsi="Arial" w:cs="Arial"/>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4B9C8C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9260" w:type="dxa"/>
        <w:tblInd w:w="80" w:type="dxa"/>
        <w:tblLayout w:type="autofit"/>
        <w:tblCellMar>
          <w:top w:w="0" w:type="dxa"/>
          <w:left w:w="70" w:type="dxa"/>
          <w:bottom w:w="0" w:type="dxa"/>
          <w:right w:w="70" w:type="dxa"/>
        </w:tblCellMar>
      </w:tblPr>
      <w:tblGrid>
        <w:gridCol w:w="960"/>
        <w:gridCol w:w="960"/>
        <w:gridCol w:w="960"/>
        <w:gridCol w:w="3280"/>
        <w:gridCol w:w="1720"/>
        <w:gridCol w:w="1380"/>
      </w:tblGrid>
      <w:tr w14:paraId="7B37C979">
        <w:tblPrEx>
          <w:tblCellMar>
            <w:top w:w="0" w:type="dxa"/>
            <w:left w:w="70" w:type="dxa"/>
            <w:bottom w:w="0" w:type="dxa"/>
            <w:right w:w="70" w:type="dxa"/>
          </w:tblCellMar>
        </w:tblPrEx>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0AECBA1">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28C7424A">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8" w:space="0"/>
              <w:left w:val="nil"/>
              <w:bottom w:val="single" w:color="auto" w:sz="8" w:space="0"/>
              <w:right w:val="single" w:color="auto" w:sz="8" w:space="0"/>
            </w:tcBorders>
            <w:shd w:val="clear" w:color="auto" w:fill="auto"/>
            <w:noWrap/>
            <w:vAlign w:val="center"/>
          </w:tcPr>
          <w:p w14:paraId="63D9B4B4">
            <w:pPr>
              <w:suppressAutoHyphens w:val="0"/>
              <w:rPr>
                <w:rFonts w:ascii="Arial" w:hAnsi="Arial" w:cs="Arial"/>
                <w:b/>
                <w:bCs/>
                <w:color w:val="000000"/>
                <w:lang w:eastAsia="pt-BR"/>
              </w:rPr>
            </w:pPr>
            <w:r>
              <w:rPr>
                <w:rFonts w:ascii="Arial" w:hAnsi="Arial" w:cs="Arial"/>
                <w:b/>
                <w:bCs/>
                <w:color w:val="000000"/>
                <w:lang w:eastAsia="pt-BR"/>
              </w:rPr>
              <w:t>QUANT</w:t>
            </w:r>
          </w:p>
        </w:tc>
        <w:tc>
          <w:tcPr>
            <w:tcW w:w="3280" w:type="dxa"/>
            <w:tcBorders>
              <w:top w:val="single" w:color="auto" w:sz="8" w:space="0"/>
              <w:left w:val="nil"/>
              <w:bottom w:val="single" w:color="auto" w:sz="8" w:space="0"/>
              <w:right w:val="single" w:color="auto" w:sz="8" w:space="0"/>
            </w:tcBorders>
            <w:shd w:val="clear" w:color="auto" w:fill="auto"/>
            <w:noWrap/>
            <w:vAlign w:val="center"/>
          </w:tcPr>
          <w:p w14:paraId="6EB6EA60">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720" w:type="dxa"/>
            <w:tcBorders>
              <w:top w:val="single" w:color="auto" w:sz="8" w:space="0"/>
              <w:left w:val="nil"/>
              <w:bottom w:val="single" w:color="auto" w:sz="8" w:space="0"/>
              <w:right w:val="single" w:color="auto" w:sz="8" w:space="0"/>
            </w:tcBorders>
            <w:shd w:val="clear" w:color="auto" w:fill="auto"/>
            <w:noWrap/>
            <w:vAlign w:val="center"/>
          </w:tcPr>
          <w:p w14:paraId="4AA59FE4">
            <w:pPr>
              <w:suppressAutoHyphens w:val="0"/>
              <w:rPr>
                <w:rFonts w:hint="default" w:ascii="Arial" w:hAnsi="Arial" w:cs="Arial"/>
                <w:b/>
                <w:bCs/>
                <w:color w:val="000000"/>
                <w:lang w:val="en-US" w:eastAsia="pt-BR"/>
              </w:rPr>
            </w:pPr>
            <w:r>
              <w:rPr>
                <w:rFonts w:hint="default" w:ascii="Arial" w:hAnsi="Arial" w:cs="Arial"/>
                <w:b/>
                <w:bCs/>
                <w:color w:val="000000"/>
                <w:lang w:val="en-US" w:eastAsia="pt-BR"/>
              </w:rPr>
              <w:t>VALOR UN</w:t>
            </w:r>
          </w:p>
        </w:tc>
        <w:tc>
          <w:tcPr>
            <w:tcW w:w="1380" w:type="dxa"/>
            <w:tcBorders>
              <w:top w:val="single" w:color="auto" w:sz="8" w:space="0"/>
              <w:left w:val="nil"/>
              <w:bottom w:val="single" w:color="auto" w:sz="8" w:space="0"/>
              <w:right w:val="single" w:color="auto" w:sz="8" w:space="0"/>
            </w:tcBorders>
            <w:shd w:val="clear" w:color="auto" w:fill="auto"/>
            <w:noWrap/>
            <w:vAlign w:val="center"/>
          </w:tcPr>
          <w:p w14:paraId="687468EA">
            <w:pPr>
              <w:suppressAutoHyphens w:val="0"/>
              <w:rPr>
                <w:rFonts w:ascii="Arial" w:hAnsi="Arial" w:cs="Arial"/>
                <w:b/>
                <w:bCs/>
                <w:color w:val="000000"/>
                <w:lang w:eastAsia="pt-BR"/>
              </w:rPr>
            </w:pPr>
            <w:r>
              <w:rPr>
                <w:rFonts w:ascii="Arial" w:hAnsi="Arial" w:cs="Arial"/>
                <w:b/>
                <w:bCs/>
                <w:color w:val="000000"/>
                <w:lang w:eastAsia="pt-BR"/>
              </w:rPr>
              <w:t>VALOR TOTAL</w:t>
            </w:r>
          </w:p>
        </w:tc>
      </w:tr>
      <w:tr w14:paraId="3ED566D8">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0CBC9B2C">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76AADAC9">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70EB6380">
            <w:pPr>
              <w:suppressAutoHyphens w:val="0"/>
              <w:jc w:val="right"/>
              <w:rPr>
                <w:rFonts w:ascii="Arial" w:hAnsi="Arial" w:cs="Arial"/>
                <w:color w:val="000000"/>
                <w:lang w:eastAsia="pt-BR"/>
              </w:rPr>
            </w:pPr>
            <w:r>
              <w:rPr>
                <w:rFonts w:ascii="Arial" w:hAnsi="Arial" w:cs="Arial"/>
                <w:color w:val="000000"/>
                <w:lang w:eastAsia="pt-BR"/>
              </w:rPr>
              <w:t>4</w:t>
            </w:r>
          </w:p>
        </w:tc>
        <w:tc>
          <w:tcPr>
            <w:tcW w:w="3280" w:type="dxa"/>
            <w:tcBorders>
              <w:top w:val="nil"/>
              <w:left w:val="nil"/>
              <w:bottom w:val="single" w:color="auto" w:sz="8" w:space="0"/>
              <w:right w:val="single" w:color="auto" w:sz="8" w:space="0"/>
            </w:tcBorders>
            <w:shd w:val="clear" w:color="auto" w:fill="auto"/>
            <w:noWrap/>
            <w:vAlign w:val="center"/>
          </w:tcPr>
          <w:p w14:paraId="67554461">
            <w:pPr>
              <w:suppressAutoHyphens w:val="0"/>
              <w:rPr>
                <w:rFonts w:ascii="Arial" w:hAnsi="Arial" w:cs="Arial"/>
                <w:color w:val="000000"/>
                <w:lang w:eastAsia="pt-BR"/>
              </w:rPr>
            </w:pPr>
            <w:r>
              <w:rPr>
                <w:rFonts w:ascii="Arial" w:hAnsi="Arial" w:cs="Arial"/>
                <w:color w:val="000000"/>
                <w:lang w:eastAsia="pt-BR"/>
              </w:rPr>
              <w:t>Mounjaro (tirzepatida) 2,5MG</w:t>
            </w:r>
          </w:p>
        </w:tc>
        <w:tc>
          <w:tcPr>
            <w:tcW w:w="1720" w:type="dxa"/>
            <w:tcBorders>
              <w:top w:val="nil"/>
              <w:left w:val="nil"/>
              <w:bottom w:val="single" w:color="auto" w:sz="8" w:space="0"/>
              <w:right w:val="single" w:color="auto" w:sz="8" w:space="0"/>
            </w:tcBorders>
            <w:shd w:val="clear" w:color="auto" w:fill="auto"/>
            <w:noWrap/>
            <w:vAlign w:val="center"/>
          </w:tcPr>
          <w:p w14:paraId="7F9283BA">
            <w:pPr>
              <w:suppressAutoHyphens w:val="0"/>
              <w:jc w:val="right"/>
              <w:rPr>
                <w:rFonts w:ascii="Arial" w:hAnsi="Arial" w:cs="Arial"/>
                <w:color w:val="000000"/>
                <w:lang w:eastAsia="pt-BR"/>
              </w:rPr>
            </w:pPr>
          </w:p>
        </w:tc>
        <w:tc>
          <w:tcPr>
            <w:tcW w:w="1380" w:type="dxa"/>
            <w:tcBorders>
              <w:top w:val="nil"/>
              <w:left w:val="nil"/>
              <w:bottom w:val="single" w:color="auto" w:sz="8" w:space="0"/>
              <w:right w:val="single" w:color="auto" w:sz="8" w:space="0"/>
            </w:tcBorders>
            <w:shd w:val="clear" w:color="auto" w:fill="auto"/>
            <w:noWrap/>
            <w:vAlign w:val="center"/>
          </w:tcPr>
          <w:p w14:paraId="6AFC5852">
            <w:pPr>
              <w:suppressAutoHyphens w:val="0"/>
              <w:jc w:val="right"/>
              <w:rPr>
                <w:rFonts w:ascii="Arial" w:hAnsi="Arial" w:cs="Arial"/>
                <w:color w:val="000000"/>
                <w:lang w:eastAsia="pt-BR"/>
              </w:rPr>
            </w:pPr>
          </w:p>
        </w:tc>
      </w:tr>
      <w:tr w14:paraId="1B6D61CB">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334162DB">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nil"/>
              <w:left w:val="nil"/>
              <w:bottom w:val="single" w:color="auto" w:sz="8" w:space="0"/>
              <w:right w:val="single" w:color="auto" w:sz="8" w:space="0"/>
            </w:tcBorders>
            <w:shd w:val="clear" w:color="auto" w:fill="auto"/>
            <w:noWrap/>
            <w:vAlign w:val="center"/>
          </w:tcPr>
          <w:p w14:paraId="2EE0764F">
            <w:pPr>
              <w:suppressAutoHyphens w:val="0"/>
              <w:rPr>
                <w:rFonts w:ascii="Arial" w:hAnsi="Arial" w:cs="Arial"/>
                <w:color w:val="000000"/>
                <w:lang w:eastAsia="pt-BR"/>
              </w:rPr>
            </w:pPr>
            <w:r>
              <w:rPr>
                <w:rFonts w:ascii="Arial" w:hAnsi="Arial" w:cs="Arial"/>
                <w:color w:val="000000"/>
                <w:lang w:eastAsia="pt-BR"/>
              </w:rPr>
              <w:t>AMP</w:t>
            </w:r>
          </w:p>
        </w:tc>
        <w:tc>
          <w:tcPr>
            <w:tcW w:w="960" w:type="dxa"/>
            <w:tcBorders>
              <w:top w:val="nil"/>
              <w:left w:val="nil"/>
              <w:bottom w:val="single" w:color="auto" w:sz="8" w:space="0"/>
              <w:right w:val="single" w:color="auto" w:sz="8" w:space="0"/>
            </w:tcBorders>
            <w:shd w:val="clear" w:color="auto" w:fill="auto"/>
            <w:noWrap/>
            <w:vAlign w:val="center"/>
          </w:tcPr>
          <w:p w14:paraId="0F10D9DC">
            <w:pPr>
              <w:suppressAutoHyphens w:val="0"/>
              <w:jc w:val="right"/>
              <w:rPr>
                <w:rFonts w:ascii="Arial" w:hAnsi="Arial" w:cs="Arial"/>
                <w:color w:val="000000"/>
                <w:lang w:eastAsia="pt-BR"/>
              </w:rPr>
            </w:pPr>
            <w:r>
              <w:rPr>
                <w:rFonts w:ascii="Arial" w:hAnsi="Arial" w:cs="Arial"/>
                <w:color w:val="000000"/>
                <w:lang w:eastAsia="pt-BR"/>
              </w:rPr>
              <w:t>13</w:t>
            </w:r>
          </w:p>
        </w:tc>
        <w:tc>
          <w:tcPr>
            <w:tcW w:w="3280" w:type="dxa"/>
            <w:tcBorders>
              <w:top w:val="nil"/>
              <w:left w:val="nil"/>
              <w:bottom w:val="single" w:color="auto" w:sz="8" w:space="0"/>
              <w:right w:val="single" w:color="auto" w:sz="8" w:space="0"/>
            </w:tcBorders>
            <w:shd w:val="clear" w:color="auto" w:fill="auto"/>
            <w:noWrap/>
            <w:vAlign w:val="center"/>
          </w:tcPr>
          <w:p w14:paraId="7AB8CA07">
            <w:pPr>
              <w:suppressAutoHyphens w:val="0"/>
              <w:rPr>
                <w:rFonts w:ascii="Arial" w:hAnsi="Arial" w:cs="Arial"/>
                <w:color w:val="000000"/>
                <w:lang w:eastAsia="pt-BR"/>
              </w:rPr>
            </w:pPr>
            <w:r>
              <w:rPr>
                <w:rFonts w:ascii="Arial" w:hAnsi="Arial" w:cs="Arial"/>
                <w:color w:val="000000"/>
                <w:lang w:eastAsia="pt-BR"/>
              </w:rPr>
              <w:t>Mounjaro (tirzepatida) 5MG</w:t>
            </w:r>
          </w:p>
        </w:tc>
        <w:tc>
          <w:tcPr>
            <w:tcW w:w="1720" w:type="dxa"/>
            <w:tcBorders>
              <w:top w:val="nil"/>
              <w:left w:val="nil"/>
              <w:bottom w:val="single" w:color="auto" w:sz="8" w:space="0"/>
              <w:right w:val="single" w:color="auto" w:sz="8" w:space="0"/>
            </w:tcBorders>
            <w:shd w:val="clear" w:color="auto" w:fill="auto"/>
            <w:noWrap/>
            <w:vAlign w:val="center"/>
          </w:tcPr>
          <w:p w14:paraId="59C70B88">
            <w:pPr>
              <w:suppressAutoHyphens w:val="0"/>
              <w:jc w:val="right"/>
              <w:rPr>
                <w:rFonts w:ascii="Arial" w:hAnsi="Arial" w:cs="Arial"/>
                <w:color w:val="000000"/>
                <w:lang w:eastAsia="pt-BR"/>
              </w:rPr>
            </w:pPr>
          </w:p>
        </w:tc>
        <w:tc>
          <w:tcPr>
            <w:tcW w:w="1380" w:type="dxa"/>
            <w:tcBorders>
              <w:top w:val="nil"/>
              <w:left w:val="nil"/>
              <w:bottom w:val="single" w:color="auto" w:sz="8" w:space="0"/>
              <w:right w:val="single" w:color="auto" w:sz="8" w:space="0"/>
            </w:tcBorders>
            <w:shd w:val="clear" w:color="auto" w:fill="auto"/>
            <w:noWrap/>
            <w:vAlign w:val="center"/>
          </w:tcPr>
          <w:p w14:paraId="064CFBF5">
            <w:pPr>
              <w:suppressAutoHyphens w:val="0"/>
              <w:jc w:val="right"/>
              <w:rPr>
                <w:rFonts w:ascii="Arial" w:hAnsi="Arial" w:cs="Arial"/>
                <w:color w:val="000000"/>
                <w:lang w:eastAsia="pt-BR"/>
              </w:rPr>
            </w:pPr>
          </w:p>
        </w:tc>
      </w:tr>
    </w:tbl>
    <w:p w14:paraId="6F878158">
      <w:pPr>
        <w:pStyle w:val="17"/>
        <w:spacing w:after="0" w:line="360" w:lineRule="auto"/>
        <w:ind w:left="0"/>
        <w:jc w:val="both"/>
        <w:rPr>
          <w:rFonts w:ascii="Arial" w:hAnsi="Arial" w:cs="Arial"/>
        </w:rPr>
      </w:pPr>
    </w:p>
    <w:p w14:paraId="4C28559F">
      <w:pPr>
        <w:keepNext w:val="0"/>
        <w:keepLines w:val="0"/>
        <w:widowControl/>
        <w:suppressLineNumbers w:val="0"/>
        <w:spacing w:before="0" w:beforeAutospacing="1" w:after="0" w:afterAutospacing="1" w:line="256" w:lineRule="auto"/>
        <w:ind w:left="0" w:right="0"/>
        <w:jc w:val="left"/>
        <w:rPr>
          <w:rFonts w:hint="default" w:ascii="Times New Roman" w:hAnsi="Times New Roman" w:cs="Times New Roman"/>
          <w:b/>
          <w:bCs/>
          <w:lang w:val="pt-BR"/>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alibri" w:cs="Times New Roman"/>
          <w:kern w:val="0"/>
          <w:sz w:val="24"/>
          <w:szCs w:val="24"/>
          <w:lang w:val="en-US" w:eastAsia="zh-CN" w:bidi="ar"/>
        </w:rPr>
        <w:t xml:space="preserve"> </w:t>
      </w:r>
      <w:r>
        <w:rPr>
          <w:rFonts w:hint="default" w:ascii="Times New Roman" w:hAnsi="Times New Roman" w:cs="Times New Roman"/>
          <w:b/>
          <w:bCs/>
          <w:lang w:val="pt-BR"/>
        </w:rPr>
        <w:t xml:space="preserve">REGISTRO DE PREÇO DE MEDICAMENTO MONJAURO 2,5MG E 5 MG PARA SUPRIR DEMANDA JUDICIAL N°000054-73.2025.8.26.0434. </w:t>
      </w:r>
    </w:p>
    <w:p w14:paraId="4A2AEF2F">
      <w:pPr>
        <w:pStyle w:val="17"/>
        <w:numPr>
          <w:ilvl w:val="0"/>
          <w:numId w:val="0"/>
        </w:numPr>
        <w:tabs>
          <w:tab w:val="left" w:pos="524"/>
        </w:tabs>
        <w:spacing w:before="1"/>
        <w:ind w:left="285" w:leftChars="0"/>
        <w:rPr>
          <w:rFonts w:ascii="Times New Roman" w:hAnsi="Times New Roman"/>
          <w:b/>
          <w:bCs/>
        </w:rPr>
      </w:pP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B92D2E0">
      <w:pPr>
        <w:rPr>
          <w:rFonts w:ascii="Times New Roman" w:hAnsi="Times New Roman" w:cs="Times New Roman"/>
          <w:b/>
          <w:bCs/>
        </w:rPr>
      </w:pPr>
    </w:p>
    <w:p w14:paraId="785C46BF">
      <w:pPr>
        <w:rPr>
          <w:rFonts w:ascii="Times New Roman" w:hAnsi="Times New Roman" w:cs="Times New Roman"/>
          <w:b/>
          <w:bCs/>
        </w:rPr>
      </w:pPr>
    </w:p>
    <w:p w14:paraId="68575DD0">
      <w:pPr>
        <w:rPr>
          <w:rFonts w:ascii="Times New Roman" w:hAnsi="Times New Roman" w:cs="Times New Roman"/>
          <w:b/>
          <w:bCs/>
        </w:rPr>
      </w:pPr>
    </w:p>
    <w:p w14:paraId="782E5306">
      <w:pPr>
        <w:rPr>
          <w:rFonts w:ascii="Times New Roman" w:hAnsi="Times New Roman" w:cs="Times New Roman"/>
          <w:b/>
          <w:bCs/>
        </w:rPr>
      </w:pPr>
    </w:p>
    <w:p w14:paraId="20C96C93">
      <w:pPr>
        <w:rPr>
          <w:rFonts w:ascii="Times New Roman" w:hAnsi="Times New Roman" w:cs="Times New Roman"/>
          <w:b/>
          <w:bCs/>
        </w:rPr>
      </w:pPr>
    </w:p>
    <w:p w14:paraId="691A0F84">
      <w:pPr>
        <w:rPr>
          <w:rFonts w:ascii="Times New Roman" w:hAnsi="Times New Roman" w:cs="Times New Roman"/>
          <w:b/>
          <w:bCs/>
        </w:rPr>
      </w:pPr>
    </w:p>
    <w:p w14:paraId="424E45FB">
      <w:pPr>
        <w:rPr>
          <w:rFonts w:ascii="Times New Roman" w:hAnsi="Times New Roman" w:cs="Times New Roman"/>
          <w:b/>
          <w:bCs/>
        </w:rPr>
      </w:pPr>
    </w:p>
    <w:p w14:paraId="78576C1E">
      <w:pPr>
        <w:rPr>
          <w:rFonts w:ascii="Times New Roman" w:hAnsi="Times New Roman" w:cs="Times New Roman"/>
          <w:b/>
          <w:bCs/>
        </w:rPr>
      </w:pPr>
    </w:p>
    <w:p w14:paraId="4B4FC216">
      <w:pPr>
        <w:rPr>
          <w:rFonts w:ascii="Times New Roman" w:hAnsi="Times New Roman" w:cs="Times New Roman"/>
          <w:b/>
          <w:bCs/>
        </w:rPr>
      </w:pPr>
    </w:p>
    <w:p w14:paraId="64BBFDE9">
      <w:pPr>
        <w:rPr>
          <w:rFonts w:ascii="Times New Roman" w:hAnsi="Times New Roman" w:cs="Times New Roman"/>
          <w:b/>
          <w:bCs/>
        </w:rPr>
      </w:pPr>
    </w:p>
    <w:p w14:paraId="0B2FA3CB">
      <w:pPr>
        <w:rPr>
          <w:rFonts w:ascii="Times New Roman" w:hAnsi="Times New Roman" w:cs="Times New Roman"/>
          <w:b/>
          <w:bCs/>
        </w:rPr>
      </w:pPr>
    </w:p>
    <w:p w14:paraId="18E216CE">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346</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117</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077</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117/</w:t>
      </w:r>
      <w:r>
        <w:rPr>
          <w:rFonts w:ascii="Times New Roman" w:hAnsi="Times New Roman" w:cs="Times New Roman"/>
        </w:rPr>
        <w:t>2025 REGISTRO DE PREÇOS Nº 0</w:t>
      </w:r>
      <w:r>
        <w:rPr>
          <w:rFonts w:hint="default" w:ascii="Times New Roman" w:hAnsi="Times New Roman" w:cs="Times New Roman"/>
          <w:lang w:val="pt-BR"/>
        </w:rPr>
        <w:t>77</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5"/>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A presente Ata tem por objeto</w:t>
      </w:r>
      <w:r>
        <w:rPr>
          <w:rFonts w:ascii="Times New Roman" w:hAnsi="Times New Roman" w:cs="Times New Roman"/>
          <w:b/>
          <w:bCs/>
        </w:rPr>
        <w:t xml:space="preserve"> </w:t>
      </w:r>
      <w:r>
        <w:rPr>
          <w:rFonts w:hint="default" w:ascii="Times New Roman" w:hAnsi="Times New Roman" w:cs="Times New Roman"/>
          <w:b/>
          <w:bCs/>
          <w:lang w:val="pt-BR"/>
        </w:rPr>
        <w:t xml:space="preserve">REGISTRO DE PREÇO DE MEDICAMENTO MONJAURO 2,5MG E 5 MG PARA SUPRIR DEMANDA JUDICIAL N°000054-73.2025.8.26.0434. </w:t>
      </w:r>
      <w:r>
        <w:rPr>
          <w:rFonts w:hint="default" w:ascii="Times New Roman" w:hAnsi="Times New Roman" w:eastAsia="Calibri" w:cs="Times New Roman"/>
          <w:kern w:val="0"/>
          <w:sz w:val="24"/>
          <w:szCs w:val="24"/>
          <w:lang w:val="pt-BR" w:eastAsia="zh-CN" w:bidi="ar"/>
        </w:rPr>
        <w:t xml:space="preserve"> </w:t>
      </w:r>
      <w:r>
        <w:rPr>
          <w:rFonts w:ascii="Times New Roman" w:hAnsi="Times New Roman" w:cs="Times New Roman"/>
        </w:rPr>
        <w:t>o 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6"/>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6"/>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6"/>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6"/>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6"/>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6"/>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6"/>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6"/>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6"/>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6"/>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6"/>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6"/>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6"/>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26DE7696">
      <w:pPr>
        <w:adjustRightInd w:val="0"/>
        <w:ind w:right="-30"/>
        <w:rPr>
          <w:rFonts w:ascii="Times New Roman" w:hAnsi="Times New Roman" w:cs="Times New Roman"/>
        </w:rPr>
      </w:pPr>
    </w:p>
    <w:p w14:paraId="3B7D3468">
      <w:pPr>
        <w:adjustRightInd w:val="0"/>
        <w:ind w:right="-30"/>
        <w:rPr>
          <w:rFonts w:ascii="Times New Roman" w:hAnsi="Times New Roman" w:cs="Times New Roman"/>
        </w:rPr>
      </w:pPr>
    </w:p>
    <w:p w14:paraId="7BC206A1">
      <w:pPr>
        <w:adjustRightInd w:val="0"/>
        <w:ind w:right="-30"/>
        <w:rPr>
          <w:rFonts w:ascii="Times New Roman" w:hAnsi="Times New Roman" w:cs="Times New Roman"/>
        </w:rPr>
      </w:pPr>
    </w:p>
    <w:p w14:paraId="7AF10549">
      <w:pPr>
        <w:adjustRightInd w:val="0"/>
        <w:ind w:right="-30"/>
        <w:rPr>
          <w:rFonts w:ascii="Times New Roman" w:hAnsi="Times New Roman" w:cs="Times New Roman"/>
        </w:rPr>
      </w:pPr>
    </w:p>
    <w:p w14:paraId="06153C76">
      <w:pPr>
        <w:adjustRightInd w:val="0"/>
        <w:ind w:right="-30"/>
        <w:rPr>
          <w:rFonts w:ascii="Times New Roman" w:hAnsi="Times New Roman" w:cs="Times New Roman"/>
        </w:rPr>
      </w:pPr>
    </w:p>
    <w:p w14:paraId="168F44F6">
      <w:pPr>
        <w:adjustRightInd w:val="0"/>
        <w:ind w:right="-30"/>
        <w:rPr>
          <w:rFonts w:ascii="Times New Roman" w:hAnsi="Times New Roman" w:cs="Times New Roman"/>
        </w:rPr>
      </w:pPr>
    </w:p>
    <w:p w14:paraId="6D5D9E6D">
      <w:pPr>
        <w:adjustRightInd w:val="0"/>
        <w:ind w:right="-30"/>
        <w:rPr>
          <w:rFonts w:ascii="Times New Roman" w:hAnsi="Times New Roman" w:cs="Times New Roman"/>
        </w:rPr>
      </w:pPr>
    </w:p>
    <w:p w14:paraId="29063493">
      <w:pPr>
        <w:adjustRightInd w:val="0"/>
        <w:ind w:right="-30"/>
        <w:rPr>
          <w:rFonts w:ascii="Times New Roman" w:hAnsi="Times New Roman" w:cs="Times New Roman"/>
        </w:rPr>
      </w:pPr>
    </w:p>
    <w:p w14:paraId="397DBFC8">
      <w:pPr>
        <w:adjustRightInd w:val="0"/>
        <w:ind w:right="-30"/>
        <w:rPr>
          <w:rFonts w:ascii="Times New Roman" w:hAnsi="Times New Roman" w:cs="Times New Roman"/>
        </w:rPr>
      </w:pPr>
    </w:p>
    <w:p w14:paraId="31BD17F3">
      <w:pPr>
        <w:adjustRightInd w:val="0"/>
        <w:ind w:right="-30"/>
        <w:rPr>
          <w:rFonts w:ascii="Times New Roman" w:hAnsi="Times New Roman" w:cs="Times New Roman"/>
        </w:rPr>
      </w:pPr>
    </w:p>
    <w:p w14:paraId="4CDF0DAA">
      <w:pPr>
        <w:adjustRightInd w:val="0"/>
        <w:ind w:right="-30"/>
        <w:rPr>
          <w:rFonts w:ascii="Times New Roman" w:hAnsi="Times New Roman" w:cs="Times New Roman"/>
        </w:rPr>
      </w:pPr>
    </w:p>
    <w:p w14:paraId="686311F3">
      <w:pPr>
        <w:adjustRightInd w:val="0"/>
        <w:ind w:right="-30"/>
        <w:rPr>
          <w:rFonts w:ascii="Times New Roman" w:hAnsi="Times New Roman" w:cs="Times New Roman"/>
        </w:rPr>
      </w:pPr>
    </w:p>
    <w:p w14:paraId="3BE7C2B2">
      <w:pPr>
        <w:adjustRightInd w:val="0"/>
        <w:ind w:right="-30"/>
        <w:rPr>
          <w:rFonts w:ascii="Times New Roman" w:hAnsi="Times New Roman" w:cs="Times New Roman"/>
        </w:rPr>
      </w:pPr>
    </w:p>
    <w:p w14:paraId="4021DE7B">
      <w:pPr>
        <w:adjustRightInd w:val="0"/>
        <w:ind w:right="-30"/>
        <w:rPr>
          <w:rFonts w:ascii="Times New Roman" w:hAnsi="Times New Roman" w:cs="Times New Roman"/>
        </w:rPr>
      </w:pPr>
    </w:p>
    <w:p w14:paraId="4C91626F">
      <w:pPr>
        <w:adjustRightInd w:val="0"/>
        <w:ind w:right="-30"/>
        <w:rPr>
          <w:rFonts w:ascii="Times New Roman" w:hAnsi="Times New Roman" w:cs="Times New Roman"/>
        </w:rPr>
      </w:pPr>
      <w:bookmarkStart w:id="4" w:name="_GoBack"/>
      <w:bookmarkEnd w:id="4"/>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8"/>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19"/>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19"/>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8"/>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Aptos Narrow">
    <w:altName w:val="Courier New"/>
    <w:panose1 w:val="00000000000000000000"/>
    <w:charset w:val="00"/>
    <w:family w:val="swiss"/>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D49">
    <w:pPr>
      <w:pStyle w:val="14"/>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1DDE6F99">
    <w:pPr>
      <w:pStyle w:val="14"/>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F36">
    <w:pPr>
      <w:pStyle w:val="13"/>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E67A340">
    <w:pPr>
      <w:pStyle w:val="13"/>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AE1A5CA">
    <w:pPr>
      <w:pStyle w:val="13"/>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Sp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ckxtgAAAAJAQAADwAAAAAAAAABACAAAAAiAAAAZHJzL2Rvd25yZXYueG1sUEsBAhQAFAAA&#10;AAgAh07iQLS9Hs3vAQAA+QMAAA4AAAAAAAAAAQAgAAAAJwEAAGRycy9lMm9Eb2MueG1sUEsFBgAA&#10;AAAGAAYAWQEAAIgFAAAAAA==&#10;">
              <v:path arrowok="t"/>
              <v:fill on="f" focussize="0,0"/>
              <v:stroke weight="4.50708661417323pt" joinstyle="miter"/>
              <v:imagedata o:title=""/>
              <o:lock v:ext="edit"/>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1">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4">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5">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0"/>
  </w:num>
  <w:num w:numId="3">
    <w:abstractNumId w:val="10"/>
  </w:num>
  <w:num w:numId="4">
    <w:abstractNumId w:val="15"/>
  </w:num>
  <w:num w:numId="5">
    <w:abstractNumId w:val="12"/>
  </w:num>
  <w:num w:numId="6">
    <w:abstractNumId w:val="1"/>
  </w:num>
  <w:num w:numId="7">
    <w:abstractNumId w:val="14"/>
  </w:num>
  <w:num w:numId="8">
    <w:abstractNumId w:val="5"/>
  </w:num>
  <w:num w:numId="9">
    <w:abstractNumId w:val="11"/>
  </w:num>
  <w:num w:numId="10">
    <w:abstractNumId w:val="4"/>
  </w:num>
  <w:num w:numId="11">
    <w:abstractNumId w:val="6"/>
  </w:num>
  <w:num w:numId="12">
    <w:abstractNumId w:val="13"/>
  </w:num>
  <w:num w:numId="13">
    <w:abstractNumId w:val="3"/>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9"/>
    <w:lvlOverride w:ilvl="0">
      <w:startOverride w:val="1"/>
    </w:lvlOverride>
  </w:num>
  <w:num w:numId="2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B7338C"/>
    <w:rsid w:val="29FD7C29"/>
    <w:rsid w:val="3919056A"/>
    <w:rsid w:val="3A6971ED"/>
    <w:rsid w:val="3DE22DCC"/>
    <w:rsid w:val="411B65F8"/>
    <w:rsid w:val="449061DF"/>
    <w:rsid w:val="470F782A"/>
    <w:rsid w:val="513A2532"/>
    <w:rsid w:val="65D941A3"/>
    <w:rsid w:val="6A1A05D0"/>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10872</Words>
  <Characters>58712</Characters>
  <Lines>1</Lines>
  <Paragraphs>1</Paragraphs>
  <TotalTime>1</TotalTime>
  <ScaleCrop>false</ScaleCrop>
  <LinksUpToDate>false</LinksUpToDate>
  <CharactersWithSpaces>69446</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2025-08-20T12:16:47Z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1CD480BBC08A4E4A9D527F4F686AABD7_13</vt:lpwstr>
  </property>
</Properties>
</file>