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362</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289</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17 de Setembro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20 </w:t>
      </w:r>
      <w:r>
        <w:rPr>
          <w:rFonts w:ascii="Calibri Light" w:hAnsi="Calibri Light" w:cs="Calibri Light"/>
        </w:rPr>
        <w:t xml:space="preserve">de </w:t>
      </w:r>
      <w:r>
        <w:rPr>
          <w:rFonts w:hint="default" w:ascii="Calibri Light" w:hAnsi="Calibri Light" w:cs="Calibri Light"/>
          <w:lang w:val="pt-BR"/>
        </w:rPr>
        <w:t xml:space="preserve">Setembro </w:t>
      </w:r>
      <w:r>
        <w:rPr>
          <w:rFonts w:ascii="Calibri Light" w:hAnsi="Calibri Light" w:cs="Calibri Light"/>
        </w:rPr>
        <w:t>de 2024.</w:t>
      </w:r>
    </w:p>
    <w:p w14:paraId="0E7B795E">
      <w:pPr>
        <w:jc w:val="both"/>
        <w:rPr>
          <w:rFonts w:hint="default" w:ascii="Calibri Light" w:hAnsi="Calibri Light" w:cs="Calibri Light"/>
          <w:b/>
          <w:lang w:val="pt-BR"/>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23</w:t>
      </w:r>
      <w:r>
        <w:rPr>
          <w:rFonts w:ascii="Calibri Light" w:hAnsi="Calibri Light" w:cs="Calibri Light"/>
          <w:b/>
        </w:rPr>
        <w:t>/</w:t>
      </w:r>
      <w:r>
        <w:rPr>
          <w:rFonts w:hint="default" w:ascii="Calibri Light" w:hAnsi="Calibri Light" w:cs="Calibri Light"/>
          <w:b/>
          <w:lang w:val="pt-BR"/>
        </w:rPr>
        <w:t>09</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bookmarkStart w:id="3" w:name="_GoBack"/>
      <w:bookmarkEnd w:id="3"/>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Contratação de empresa especializada para realizar o deslocamento da tubulação de incêndio externa e a mudança da fiação, bomba de incêndio e sirene no Ginásio Esportivo da Prefeitura Municipal de Rifaina( NIVALDO A. VIANA), localização na escola municipal João Ethebehere; sob o endereço Rua: Barão de Rifaina nº 390; cadastro imobiliário: 000000331; em conformidade com as diretrizes estabelecidas na Lei Federal nº 14.133/2021.</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18E25B3B">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 xml:space="preserve">020802 ENSINO INFANTIL </w:t>
      </w:r>
    </w:p>
    <w:p w14:paraId="0D74E71E">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Educação</w:t>
      </w:r>
    </w:p>
    <w:p w14:paraId="47F7A2BD">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12 365 Educação Infantil</w:t>
      </w:r>
    </w:p>
    <w:p w14:paraId="4C31E199">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12 365 0011 GESTÃO DA EDUCAÇÃO BASICA</w:t>
      </w:r>
    </w:p>
    <w:p w14:paraId="2ED33CE9">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 xml:space="preserve">12 365 0011 2027 Manutenção do Ensino Infantil </w:t>
      </w:r>
    </w:p>
    <w:p w14:paraId="7C4A6BA3">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12 365 0011 2027 0212 Ensino Infantil - CRECHE - ( Proprio)</w:t>
      </w:r>
    </w:p>
    <w:p w14:paraId="3C86A272">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0.01.00</w:t>
      </w:r>
    </w:p>
    <w:p w14:paraId="46F75AB9">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3 3 90 39 00 OUTROS SERVIÇOS DE TERCEIRPS - PESSOA JURÍDICA</w:t>
      </w:r>
    </w:p>
    <w:p w14:paraId="3CC78310">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212.001 Recurso Próprio - FME</w:t>
      </w:r>
    </w:p>
    <w:p w14:paraId="2B08D436">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12 365 0011 2027 0213 Ensino Infantil - PRE-ESCOLA - (Proprio)</w:t>
      </w:r>
    </w:p>
    <w:p w14:paraId="538A712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0.01.00</w:t>
      </w:r>
    </w:p>
    <w:p w14:paraId="04F3EB4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3 3 90 39 00 OUTROS SERVIÇOS DE TERCEIROS - PESSOA JURIDICA</w:t>
      </w:r>
    </w:p>
    <w:p w14:paraId="65517C8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213.001 Recurso Proprio - FME</w:t>
      </w:r>
    </w:p>
    <w:p w14:paraId="27CC9297">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020804 ENSINO FUNDAMENTAL</w:t>
      </w:r>
    </w:p>
    <w:p w14:paraId="4CA1011C">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Educação</w:t>
      </w:r>
    </w:p>
    <w:p w14:paraId="123384DB">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12 361 Ensino Fundamental</w:t>
      </w:r>
    </w:p>
    <w:p w14:paraId="621FB1C4">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 xml:space="preserve"> 12 361 0011 GESTÃO DA EDUCAÇÃO BASICA</w:t>
      </w:r>
    </w:p>
    <w:p w14:paraId="3029CBFE">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12 361 0011 2009 Desenvolvimento e Manutenção do Ensino Fundamental</w:t>
      </w:r>
    </w:p>
    <w:p w14:paraId="74AB7F27">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12 361 0011 2009 0220 Ensino Fundamental - Rec. Proprio</w:t>
      </w:r>
    </w:p>
    <w:p w14:paraId="7BFBE509">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0.01.00</w:t>
      </w:r>
    </w:p>
    <w:p w14:paraId="7076E6D9">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3 3 90 39 00 OUTROS SERVIÇOS DE TERCEIROS - PESSOA JURÍDICA</w:t>
      </w:r>
    </w:p>
    <w:p w14:paraId="520017AE">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220.001 Recurso Proprio - Fundo Mun. Educação</w:t>
      </w:r>
    </w:p>
    <w:p w14:paraId="2BBD3B7B">
      <w:pPr>
        <w:numPr>
          <w:ilvl w:val="0"/>
          <w:numId w:val="0"/>
        </w:numPr>
        <w:rPr>
          <w:rFonts w:hint="default" w:ascii="Arial" w:hAnsi="Arial" w:eastAsia="SimSun" w:cs="Arial"/>
          <w:sz w:val="24"/>
          <w:szCs w:val="24"/>
          <w:lang w:val="pt-BR"/>
        </w:rPr>
      </w:pPr>
    </w:p>
    <w:p w14:paraId="741FDCE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12 361 0011 2026 Manutenção das Atividades do Transporte Escolar</w:t>
      </w:r>
    </w:p>
    <w:p w14:paraId="32C0956B">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12 361 0011 2026 1220 Manut. Das Ativid. Do Transporte Escolar - Rec. Proprio</w:t>
      </w:r>
    </w:p>
    <w:p w14:paraId="5EFD979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0.01.00</w:t>
      </w:r>
    </w:p>
    <w:p w14:paraId="1285285B">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3 3 90 39 00 OUTROS SERVIÇOS DE TERCEIROS - PESSOA JURÍDICA</w:t>
      </w:r>
    </w:p>
    <w:p w14:paraId="286178D0">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220.001 Recurso Proprio - Fundo Mun, Educação</w:t>
      </w:r>
    </w:p>
    <w:p w14:paraId="512A5CE4">
      <w:pPr>
        <w:numPr>
          <w:ilvl w:val="0"/>
          <w:numId w:val="0"/>
        </w:numPr>
        <w:rPr>
          <w:rFonts w:hint="default" w:ascii="Arial" w:hAnsi="Arial" w:eastAsia="SimSun" w:cs="Arial"/>
          <w:sz w:val="24"/>
          <w:szCs w:val="24"/>
          <w:lang w:val="pt-BR"/>
        </w:rPr>
      </w:pPr>
    </w:p>
    <w:p w14:paraId="59F272D3">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020808 ENSINO SUPERIOR</w:t>
      </w:r>
    </w:p>
    <w:p w14:paraId="69E67B6A">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12 364 Ensino Superior</w:t>
      </w:r>
    </w:p>
    <w:p w14:paraId="2932A6F9">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12 364 0026 GESTÃO DO ENSINO SUPERIOR</w:t>
      </w:r>
    </w:p>
    <w:p w14:paraId="6FE67DB4">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12 364 0026 2026 0000 Manutenção das Atividades do Transporte Escolar</w:t>
      </w:r>
    </w:p>
    <w:p w14:paraId="184B82B1">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0.01.00</w:t>
      </w:r>
    </w:p>
    <w:p w14:paraId="023E49D3">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3 3 90 39 00 OUTROS SERVIÇOS DE TERCEIROS - PESSOA JURÍDICA</w:t>
      </w:r>
    </w:p>
    <w:p w14:paraId="2BED59F6">
      <w:pPr>
        <w:numPr>
          <w:ilvl w:val="0"/>
          <w:numId w:val="0"/>
        </w:numPr>
        <w:rPr>
          <w:rFonts w:hint="default" w:ascii="Arial" w:hAnsi="Arial" w:cs="Arial"/>
          <w:sz w:val="20"/>
          <w:szCs w:val="20"/>
          <w:lang w:val="pt-BR"/>
        </w:rPr>
      </w:pPr>
      <w:r>
        <w:rPr>
          <w:rFonts w:hint="default" w:ascii="Arial" w:hAnsi="Arial" w:eastAsia="SimSun" w:cs="Arial"/>
          <w:sz w:val="24"/>
          <w:szCs w:val="24"/>
          <w:lang w:val="pt-BR"/>
        </w:rPr>
        <w:t>110.000 GERAL</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14.104,45 (Quatorze Mil, Cento e Quatro Reais e Quarenta e Cinco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20</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09</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16 </w:t>
      </w:r>
      <w:r>
        <w:rPr>
          <w:rFonts w:ascii="Calibri Light" w:hAnsi="Calibri Light" w:cs="Calibri Light"/>
        </w:rPr>
        <w:t xml:space="preserve">de </w:t>
      </w:r>
      <w:r>
        <w:rPr>
          <w:rFonts w:hint="default" w:ascii="Calibri Light" w:hAnsi="Calibri Light" w:cs="Calibri Light"/>
          <w:lang w:val="pt-BR"/>
        </w:rPr>
        <w:t xml:space="preserve">Setembro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2AE661C2">
      <w:pPr>
        <w:pStyle w:val="55"/>
        <w:jc w:val="center"/>
        <w:rPr>
          <w:rFonts w:ascii="Times New Roman" w:hAnsi="Times New Roman"/>
        </w:rPr>
      </w:pPr>
    </w:p>
    <w:p w14:paraId="4F851721">
      <w:pPr>
        <w:pStyle w:val="55"/>
        <w:jc w:val="center"/>
        <w:rPr>
          <w:rFonts w:ascii="Times New Roman" w:hAnsi="Times New Roman"/>
        </w:rPr>
      </w:pPr>
    </w:p>
    <w:p w14:paraId="29578BA4">
      <w:pPr>
        <w:pStyle w:val="55"/>
        <w:jc w:val="center"/>
        <w:rPr>
          <w:rFonts w:ascii="Times New Roman" w:hAnsi="Times New Roman"/>
        </w:rPr>
      </w:pPr>
    </w:p>
    <w:p w14:paraId="522A2A29">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26BF8D79">
      <w:pPr>
        <w:spacing w:before="100" w:beforeAutospacing="1" w:after="100" w:afterAutospacing="1" w:line="240" w:lineRule="auto"/>
        <w:jc w:val="center"/>
        <w:rPr>
          <w:rFonts w:ascii="Times New Roman" w:hAnsi="Times New Roman" w:eastAsia="Times New Roman"/>
          <w:b/>
          <w:bCs/>
          <w:sz w:val="24"/>
          <w:szCs w:val="24"/>
          <w:lang w:eastAsia="pt-BR"/>
        </w:rPr>
      </w:pPr>
      <w:r>
        <w:rPr>
          <w:rFonts w:ascii="Times New Roman" w:hAnsi="Times New Roman" w:eastAsia="Times New Roman"/>
          <w:b/>
          <w:bCs/>
          <w:sz w:val="24"/>
          <w:szCs w:val="24"/>
          <w:lang w:eastAsia="pt-BR"/>
        </w:rPr>
        <w:t>TERMO DE REFERÊNCIA</w:t>
      </w:r>
    </w:p>
    <w:p w14:paraId="24290605">
      <w:pPr>
        <w:spacing w:before="100" w:beforeAutospacing="1" w:after="100" w:afterAutospacing="1" w:line="240" w:lineRule="auto"/>
        <w:jc w:val="center"/>
        <w:rPr>
          <w:rFonts w:ascii="Times New Roman" w:hAnsi="Times New Roman" w:eastAsia="Times New Roman"/>
          <w:b/>
          <w:bCs/>
          <w:sz w:val="24"/>
          <w:szCs w:val="24"/>
          <w:lang w:eastAsia="pt-BR"/>
        </w:rPr>
      </w:pPr>
    </w:p>
    <w:p w14:paraId="178BAE45">
      <w:pPr>
        <w:spacing w:before="100" w:beforeAutospacing="1" w:after="100" w:afterAutospacing="1" w:line="240" w:lineRule="auto"/>
        <w:jc w:val="center"/>
        <w:rPr>
          <w:rFonts w:ascii="Times New Roman" w:hAnsi="Times New Roman" w:eastAsia="Times New Roman"/>
          <w:sz w:val="24"/>
          <w:szCs w:val="24"/>
          <w:lang w:eastAsia="pt-BR"/>
        </w:rPr>
      </w:pPr>
    </w:p>
    <w:p w14:paraId="486D585F">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1. INTRODUÇÃO</w:t>
      </w:r>
    </w:p>
    <w:p w14:paraId="40B47CE7">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O presente Termo de Referência visa à contratação de empresa especializada em manutenção predial, para realizar o deslocamento da tubulação de incêndio externa e a mudança da fiação, bomba de incêndio e sirene no Ginásio Esportivo da Prefeitura Municipal de Rifaina (NIVALDO A. VIANA), localizado na escola municipal João Ethebehere; sob o endereço Rua: Barão de Rifaina, nº390; cadastro imobiliário:000000331; em conformidade com as diretrizes estabelecidas na Lei Federal nº 14.133/2021.</w:t>
      </w:r>
    </w:p>
    <w:p w14:paraId="3E9C0E7D">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2. OBJETO</w:t>
      </w:r>
    </w:p>
    <w:p w14:paraId="4B7CBD04">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Contratação de empresa especializada para realizar o serviço de deslocamento da tubulação de incêndio externa, e mudança da fiação, bomba de incêndio e sirene no Ginásio Esportivo do Município de Rifaina.</w:t>
      </w:r>
    </w:p>
    <w:p w14:paraId="333C51E8">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3. JUSTIFICATIVA</w:t>
      </w:r>
    </w:p>
    <w:p w14:paraId="28205689">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A contratação é necessária devido à instalação de climatizadores no Ginásio Esportivo, cuja localização dos equipamentos coincide com a tubulação de incêndio existente. Não há outro local disponível para a instalação dos climatizadores, tornando indispensável o deslocamento da tubulação, bem como a readequação da fiação da bomba de incêndio e sirene; para garantir o funcionamento correto dos sistemas de segurança e climatização.</w:t>
      </w:r>
    </w:p>
    <w:p w14:paraId="00C46115">
      <w:pPr>
        <w:spacing w:before="100" w:beforeAutospacing="1" w:after="100" w:afterAutospacing="1" w:line="240" w:lineRule="auto"/>
        <w:rPr>
          <w:rFonts w:ascii="Times New Roman" w:hAnsi="Times New Roman" w:eastAsia="Times New Roman"/>
          <w:sz w:val="24"/>
          <w:szCs w:val="24"/>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065"/>
      </w:tblGrid>
      <w:tr w14:paraId="2598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2509" w:type="dxa"/>
            <w:shd w:val="clear" w:color="auto" w:fill="auto"/>
            <w:noWrap w:val="0"/>
            <w:vAlign w:val="top"/>
          </w:tcPr>
          <w:p w14:paraId="2B6AA910">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drawing>
                <wp:inline distT="0" distB="0" distL="114300" distR="114300">
                  <wp:extent cx="2618740" cy="1959610"/>
                  <wp:effectExtent l="0" t="0" r="2540" b="6350"/>
                  <wp:docPr id="6" name="Imagem 1" descr="WhatsApp Image 2024-09-05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WhatsApp Image 2024-09-05 at 08"/>
                          <pic:cNvPicPr>
                            <a:picLocks noChangeAspect="1"/>
                          </pic:cNvPicPr>
                        </pic:nvPicPr>
                        <pic:blipFill>
                          <a:blip r:embed="rId6"/>
                          <a:stretch>
                            <a:fillRect/>
                          </a:stretch>
                        </pic:blipFill>
                        <pic:spPr>
                          <a:xfrm>
                            <a:off x="0" y="0"/>
                            <a:ext cx="2618740" cy="1959610"/>
                          </a:xfrm>
                          <a:prstGeom prst="rect">
                            <a:avLst/>
                          </a:prstGeom>
                          <a:noFill/>
                          <a:ln>
                            <a:noFill/>
                          </a:ln>
                        </pic:spPr>
                      </pic:pic>
                    </a:graphicData>
                  </a:graphic>
                </wp:inline>
              </w:drawing>
            </w:r>
          </w:p>
        </w:tc>
        <w:tc>
          <w:tcPr>
            <w:tcW w:w="4620" w:type="dxa"/>
            <w:shd w:val="clear" w:color="auto" w:fill="auto"/>
            <w:noWrap w:val="0"/>
            <w:vAlign w:val="top"/>
          </w:tcPr>
          <w:p w14:paraId="7CF9909A">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drawing>
                <wp:inline distT="0" distB="0" distL="114300" distR="114300">
                  <wp:extent cx="3171190" cy="1984375"/>
                  <wp:effectExtent l="0" t="0" r="13970" b="12065"/>
                  <wp:docPr id="8" name="Imagem 2" descr="WhatsApp Image 2024-09-05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2" descr="WhatsApp Image 2024-09-05 at 08"/>
                          <pic:cNvPicPr>
                            <a:picLocks noChangeAspect="1"/>
                          </pic:cNvPicPr>
                        </pic:nvPicPr>
                        <pic:blipFill>
                          <a:blip r:embed="rId7"/>
                          <a:stretch>
                            <a:fillRect/>
                          </a:stretch>
                        </pic:blipFill>
                        <pic:spPr>
                          <a:xfrm>
                            <a:off x="0" y="0"/>
                            <a:ext cx="3171190" cy="1984375"/>
                          </a:xfrm>
                          <a:prstGeom prst="rect">
                            <a:avLst/>
                          </a:prstGeom>
                          <a:noFill/>
                          <a:ln>
                            <a:noFill/>
                          </a:ln>
                        </pic:spPr>
                      </pic:pic>
                    </a:graphicData>
                  </a:graphic>
                </wp:inline>
              </w:drawing>
            </w:r>
          </w:p>
        </w:tc>
      </w:tr>
      <w:tr w14:paraId="1163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2509" w:type="dxa"/>
            <w:shd w:val="clear" w:color="auto" w:fill="auto"/>
            <w:noWrap w:val="0"/>
            <w:vAlign w:val="top"/>
          </w:tcPr>
          <w:p w14:paraId="29075218">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drawing>
                <wp:inline distT="0" distB="0" distL="114300" distR="114300">
                  <wp:extent cx="2828290" cy="2116455"/>
                  <wp:effectExtent l="0" t="0" r="6350" b="1905"/>
                  <wp:docPr id="7" name="Imagem 3" descr="WhatsApp Image 2024-09-05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3" descr="WhatsApp Image 2024-09-05 at 08"/>
                          <pic:cNvPicPr>
                            <a:picLocks noChangeAspect="1"/>
                          </pic:cNvPicPr>
                        </pic:nvPicPr>
                        <pic:blipFill>
                          <a:blip r:embed="rId8"/>
                          <a:stretch>
                            <a:fillRect/>
                          </a:stretch>
                        </pic:blipFill>
                        <pic:spPr>
                          <a:xfrm>
                            <a:off x="0" y="0"/>
                            <a:ext cx="2828290" cy="2116455"/>
                          </a:xfrm>
                          <a:prstGeom prst="rect">
                            <a:avLst/>
                          </a:prstGeom>
                          <a:noFill/>
                          <a:ln>
                            <a:noFill/>
                          </a:ln>
                        </pic:spPr>
                      </pic:pic>
                    </a:graphicData>
                  </a:graphic>
                </wp:inline>
              </w:drawing>
            </w:r>
          </w:p>
        </w:tc>
        <w:tc>
          <w:tcPr>
            <w:tcW w:w="4620" w:type="dxa"/>
            <w:shd w:val="clear" w:color="auto" w:fill="auto"/>
            <w:noWrap w:val="0"/>
            <w:vAlign w:val="top"/>
          </w:tcPr>
          <w:p w14:paraId="44075E64">
            <w:pPr>
              <w:spacing w:before="100" w:beforeAutospacing="1" w:after="100" w:afterAutospacing="1" w:line="240" w:lineRule="auto"/>
              <w:jc w:val="center"/>
              <w:rPr>
                <w:rFonts w:ascii="Times New Roman" w:hAnsi="Times New Roman" w:eastAsia="Times New Roman"/>
                <w:sz w:val="24"/>
                <w:szCs w:val="24"/>
                <w:lang w:eastAsia="pt-BR"/>
              </w:rPr>
            </w:pPr>
            <w:r>
              <w:rPr>
                <w:rFonts w:ascii="Times New Roman" w:hAnsi="Times New Roman" w:eastAsia="Times New Roman"/>
                <w:sz w:val="24"/>
                <w:szCs w:val="24"/>
                <w:lang w:eastAsia="pt-BR"/>
              </w:rPr>
              <w:drawing>
                <wp:inline distT="0" distB="0" distL="114300" distR="114300">
                  <wp:extent cx="3108960" cy="2084705"/>
                  <wp:effectExtent l="0" t="0" r="0" b="3175"/>
                  <wp:docPr id="9" name="Imagem 4" descr="WhatsApp Image 2024-09-05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4" descr="WhatsApp Image 2024-09-05 at 08"/>
                          <pic:cNvPicPr>
                            <a:picLocks noChangeAspect="1"/>
                          </pic:cNvPicPr>
                        </pic:nvPicPr>
                        <pic:blipFill>
                          <a:blip r:embed="rId9"/>
                          <a:stretch>
                            <a:fillRect/>
                          </a:stretch>
                        </pic:blipFill>
                        <pic:spPr>
                          <a:xfrm>
                            <a:off x="0" y="0"/>
                            <a:ext cx="3108960" cy="2084705"/>
                          </a:xfrm>
                          <a:prstGeom prst="rect">
                            <a:avLst/>
                          </a:prstGeom>
                          <a:noFill/>
                          <a:ln>
                            <a:noFill/>
                          </a:ln>
                        </pic:spPr>
                      </pic:pic>
                    </a:graphicData>
                  </a:graphic>
                </wp:inline>
              </w:drawing>
            </w:r>
          </w:p>
        </w:tc>
      </w:tr>
    </w:tbl>
    <w:p w14:paraId="675CA6FF">
      <w:pPr>
        <w:spacing w:before="100" w:beforeAutospacing="1" w:after="100" w:afterAutospacing="1" w:line="240" w:lineRule="auto"/>
        <w:rPr>
          <w:rFonts w:ascii="Times New Roman" w:hAnsi="Times New Roman" w:eastAsia="Times New Roman"/>
          <w:sz w:val="24"/>
          <w:szCs w:val="24"/>
          <w:lang w:eastAsia="pt-BR"/>
        </w:rPr>
      </w:pPr>
    </w:p>
    <w:p w14:paraId="03F69A44">
      <w:pPr>
        <w:spacing w:before="100" w:beforeAutospacing="1" w:after="100" w:afterAutospacing="1" w:line="240" w:lineRule="auto"/>
        <w:jc w:val="both"/>
        <w:rPr>
          <w:rFonts w:ascii="Times New Roman" w:hAnsi="Times New Roman" w:eastAsia="Times New Roman"/>
          <w:b/>
          <w:bCs/>
          <w:sz w:val="24"/>
          <w:szCs w:val="24"/>
          <w:lang w:eastAsia="pt-BR"/>
        </w:rPr>
      </w:pPr>
      <w:r>
        <w:rPr>
          <w:rFonts w:ascii="Times New Roman" w:hAnsi="Times New Roman" w:eastAsia="Times New Roman"/>
          <w:b/>
          <w:bCs/>
          <w:sz w:val="24"/>
          <w:szCs w:val="24"/>
          <w:lang w:eastAsia="pt-BR"/>
        </w:rPr>
        <w:t>4. ESPECIFICAÇÕES DOS SERVIÇOS</w:t>
      </w:r>
    </w:p>
    <w:p w14:paraId="1EA0D0FD">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br w:type="textWrapping"/>
      </w:r>
      <w:r>
        <w:rPr>
          <w:rFonts w:ascii="Times New Roman" w:hAnsi="Times New Roman" w:eastAsia="Times New Roman"/>
          <w:sz w:val="24"/>
          <w:szCs w:val="24"/>
          <w:lang w:eastAsia="pt-BR"/>
        </w:rPr>
        <w:t>Manutenção e deslocamento na tubulação de incêndio externa e mudança na tubulação e fiação da bomba de incêndio, sirene e botoeira quebra-vidro.</w:t>
      </w:r>
    </w:p>
    <w:p w14:paraId="7ED06647">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04 metros de tubo galvanizado de 2 1/2", 12 roscas em tubo galvanizado de 2 1/2"</w:t>
      </w:r>
    </w:p>
    <w:p w14:paraId="3EFBE2F1">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04 cotovelos galvanizados de 2 1/2", 03 luvas galvanizadas com assento de bronze de 2 1/2"</w:t>
      </w:r>
    </w:p>
    <w:p w14:paraId="324F51A8">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04 barras de eletroduto zincado de 3/4", 12 conduletes múltiplos de 3/4" com tampa cega</w:t>
      </w:r>
    </w:p>
    <w:p w14:paraId="5D4EF71E">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32 unidades múltiplos de 3/4" x 3/4",15 metros de fio polarizado 2x1,5mm</w:t>
      </w:r>
    </w:p>
    <w:p w14:paraId="2F0A4409">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100 metros de cabo flexível 1,5mm x 750v (cores variadas), 18 mãos francesas reforçadas de 200mm</w:t>
      </w:r>
    </w:p>
    <w:p w14:paraId="328E6402">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100 parafusos com bucha S10 sextavados com arruela lisa, 03 rolos de fita isolante 3M de 20 metros</w:t>
      </w:r>
    </w:p>
    <w:p w14:paraId="1407B725">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15 unidades de veda roscam de 50 metros, 02 litros de zarcão laranja</w:t>
      </w:r>
    </w:p>
    <w:p w14:paraId="06B9C0A8">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t>Os serviços a serem executados incluem:</w:t>
      </w:r>
    </w:p>
    <w:p w14:paraId="4D3AD724">
      <w:pPr>
        <w:numPr>
          <w:ilvl w:val="0"/>
          <w:numId w:val="9"/>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Deslocamento da tubulação de incêndio externa, garantindo que a nova localização atenda às normas vigentes de segurança contra incêndio e pânico.</w:t>
      </w:r>
    </w:p>
    <w:p w14:paraId="265C98D5">
      <w:pPr>
        <w:numPr>
          <w:ilvl w:val="0"/>
          <w:numId w:val="9"/>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Readequação da fiação elétrica, incluindo toda a instalação necessária para o funcionamento adequado do sistema de incêndio.</w:t>
      </w:r>
    </w:p>
    <w:p w14:paraId="03E51FA7">
      <w:pPr>
        <w:numPr>
          <w:ilvl w:val="0"/>
          <w:numId w:val="9"/>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Mudança dos condolentes da bomba de incêndio e sirene, assegurando sua funcionalidade e conformidade com as normas técnicas.</w:t>
      </w:r>
    </w:p>
    <w:p w14:paraId="353E5FBD">
      <w:pPr>
        <w:numPr>
          <w:ilvl w:val="0"/>
          <w:numId w:val="9"/>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Testes de funcionamento dos sistemas após a conclusão dos serviços, com emissão de relatório técnico de conformidade.</w:t>
      </w:r>
    </w:p>
    <w:p w14:paraId="5AB8398E">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5. PRAZO DE EXECUÇÃO</w:t>
      </w:r>
    </w:p>
    <w:p w14:paraId="3DBFB092">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O prazo para a execução completa dos serviços é de até 30 (trinta) dias corridos, a contar da data de emissão da Ordem de Serviço.</w:t>
      </w:r>
    </w:p>
    <w:p w14:paraId="0332DA98">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6. OBRIGAÇÕES DA CONTRATADA</w:t>
      </w:r>
    </w:p>
    <w:p w14:paraId="2783CECE">
      <w:pPr>
        <w:numPr>
          <w:ilvl w:val="0"/>
          <w:numId w:val="10"/>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Fornecer todos os materiais, equipamentos e mão de obra necessários para a execução dos serviços.</w:t>
      </w:r>
    </w:p>
    <w:p w14:paraId="1AD4B458">
      <w:pPr>
        <w:numPr>
          <w:ilvl w:val="0"/>
          <w:numId w:val="10"/>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Garantir que todos os serviços sejam realizados conforme as normas técnicas aplicáveis, em especial as relacionadas à segurança contra incêndio e pânico.</w:t>
      </w:r>
    </w:p>
    <w:p w14:paraId="78422B2E">
      <w:pPr>
        <w:numPr>
          <w:ilvl w:val="0"/>
          <w:numId w:val="10"/>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Emitir relatórios técnicos detalhados ao final de cada etapa dos serviços.</w:t>
      </w:r>
    </w:p>
    <w:p w14:paraId="04D3E6A6">
      <w:pPr>
        <w:numPr>
          <w:ilvl w:val="0"/>
          <w:numId w:val="10"/>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Manter a Prefeitura Municipal de Rifaina informada sobre o progresso dos trabalhos, comunicando imediatamente qualquer ocorrência que possa comprometer o cumprimento do prazo ou a qualidade dos serviços.</w:t>
      </w:r>
    </w:p>
    <w:p w14:paraId="019333DF">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7. OBRIGAÇÕES DA CONTRATANTE</w:t>
      </w:r>
    </w:p>
    <w:p w14:paraId="7AFE58FB">
      <w:pPr>
        <w:numPr>
          <w:ilvl w:val="0"/>
          <w:numId w:val="11"/>
        </w:num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t>Fornecer à empresa contratada as informações necessárias sobre o local de trabalho.</w:t>
      </w:r>
    </w:p>
    <w:p w14:paraId="1C185280">
      <w:pPr>
        <w:numPr>
          <w:ilvl w:val="0"/>
          <w:numId w:val="11"/>
        </w:num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t>Facilitar o acesso ao Ginásio Esportivo e aos sistemas de incêndio para a execução dos serviços.</w:t>
      </w:r>
    </w:p>
    <w:p w14:paraId="31A7D5F1">
      <w:pPr>
        <w:numPr>
          <w:ilvl w:val="0"/>
          <w:numId w:val="11"/>
        </w:num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t>Acompanhar e fiscalizar a execução dos serviços, verificando o cumprimento das especificações estabelecidas neste Termo de Referência.</w:t>
      </w:r>
    </w:p>
    <w:p w14:paraId="71E75E4E">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8. VALOR ESTIMADO</w:t>
      </w:r>
    </w:p>
    <w:p w14:paraId="4A953100">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xml:space="preserve">O valor estimado para a contratação dos serviços é de </w:t>
      </w:r>
      <w:r>
        <w:rPr>
          <w:rFonts w:ascii="Times New Roman" w:hAnsi="Times New Roman" w:eastAsia="Times New Roman"/>
          <w:b/>
          <w:bCs/>
          <w:sz w:val="24"/>
          <w:szCs w:val="24"/>
          <w:lang w:eastAsia="pt-BR"/>
        </w:rPr>
        <w:t>R$ 14.104,45</w:t>
      </w:r>
      <w:r>
        <w:rPr>
          <w:rFonts w:ascii="Times New Roman" w:hAnsi="Times New Roman" w:eastAsia="Times New Roman"/>
          <w:sz w:val="24"/>
          <w:szCs w:val="24"/>
          <w:lang w:eastAsia="pt-BR"/>
        </w:rPr>
        <w:t xml:space="preserve"> (quatorze mil cento e quatro reais e quarenta e cinco centavos), conforme média entre cotações e levantamento realizado no banco de preços.</w:t>
      </w:r>
    </w:p>
    <w:p w14:paraId="0E41AC07">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9. CRITÉRIO DE JULGAMENTO</w:t>
      </w:r>
    </w:p>
    <w:p w14:paraId="70CED1D5">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xml:space="preserve">O critério de julgamento para a contratação será o de </w:t>
      </w:r>
      <w:r>
        <w:rPr>
          <w:rFonts w:ascii="Times New Roman" w:hAnsi="Times New Roman" w:eastAsia="Times New Roman"/>
          <w:b/>
          <w:bCs/>
          <w:sz w:val="24"/>
          <w:szCs w:val="24"/>
          <w:lang w:eastAsia="pt-BR"/>
        </w:rPr>
        <w:t>menor preço</w:t>
      </w:r>
      <w:r>
        <w:rPr>
          <w:rFonts w:ascii="Times New Roman" w:hAnsi="Times New Roman" w:eastAsia="Times New Roman"/>
          <w:sz w:val="24"/>
          <w:szCs w:val="24"/>
          <w:lang w:eastAsia="pt-BR"/>
        </w:rPr>
        <w:t>, desde que a proposta atenda a todos os requisitos técnicos estabelecidos neste Termo de Referência.</w:t>
      </w:r>
    </w:p>
    <w:p w14:paraId="4BDB5727">
      <w:pPr>
        <w:spacing w:before="100" w:beforeAutospacing="1" w:after="100" w:afterAutospacing="1" w:line="240" w:lineRule="auto"/>
        <w:jc w:val="both"/>
        <w:rPr>
          <w:rFonts w:ascii="Times New Roman" w:hAnsi="Times New Roman" w:eastAsia="Times New Roman"/>
          <w:sz w:val="24"/>
          <w:szCs w:val="24"/>
          <w:lang w:eastAsia="pt-BR"/>
        </w:rPr>
      </w:pPr>
    </w:p>
    <w:p w14:paraId="3C73037F">
      <w:pPr>
        <w:spacing w:before="100" w:beforeAutospacing="1" w:after="100" w:afterAutospacing="1" w:line="240" w:lineRule="auto"/>
        <w:jc w:val="both"/>
        <w:rPr>
          <w:rFonts w:ascii="Times New Roman" w:hAnsi="Times New Roman" w:eastAsia="Times New Roman"/>
          <w:sz w:val="24"/>
          <w:szCs w:val="24"/>
          <w:lang w:eastAsia="pt-BR"/>
        </w:rPr>
      </w:pPr>
    </w:p>
    <w:p w14:paraId="619CC508">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10. FISCALIZAÇÃO E ACOMPANHAMENTO</w:t>
      </w:r>
    </w:p>
    <w:p w14:paraId="7C61671B">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A fiscalização e o acompanhamento dos serviços serão realizados por um representante designado pela Prefeitura Municipal de Rifaina, que deverá garantir que os serviços sejam executados conforme as especificações técnicas e no prazo estipulado.</w:t>
      </w:r>
    </w:p>
    <w:p w14:paraId="58816DDC">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11. CONDIÇÕES DE PAGAMENTO</w:t>
      </w:r>
    </w:p>
    <w:p w14:paraId="16E861C2">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O pagamento será efetuado em até 30 (trinta) dias após a conclusão e aceitação dos serviços, mediante apresentação de nota fiscal e relatório técnico de conformidade dos sistemas readequados.</w:t>
      </w:r>
    </w:p>
    <w:p w14:paraId="7135A66D">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b/>
          <w:bCs/>
          <w:sz w:val="24"/>
          <w:szCs w:val="24"/>
          <w:lang w:eastAsia="pt-BR"/>
        </w:rPr>
        <w:t>12. DISPOSIÇÕES FINAIS</w:t>
      </w:r>
    </w:p>
    <w:p w14:paraId="70F39C65">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Este Termo de Referência servirá de base para a elaboração do edital de licitação, contrato e demais documentos necessários para a execução dos serviços. Qualquer alteração no presente Termo deverá ser formalizada por meio de aditivo contratual, obedecendo as disposições legais vigentes.</w:t>
      </w:r>
    </w:p>
    <w:p w14:paraId="633AE3FC">
      <w:pPr>
        <w:spacing w:before="100" w:beforeAutospacing="1" w:after="100" w:afterAutospacing="1" w:line="240" w:lineRule="auto"/>
        <w:rPr>
          <w:rFonts w:ascii="Times New Roman" w:hAnsi="Times New Roman" w:eastAsia="Times New Roman"/>
          <w:sz w:val="24"/>
          <w:szCs w:val="24"/>
          <w:lang w:eastAsia="pt-BR"/>
        </w:rPr>
      </w:pPr>
    </w:p>
    <w:p w14:paraId="4F23282B">
      <w:pPr>
        <w:spacing w:before="100" w:beforeAutospacing="1" w:after="100" w:afterAutospacing="1" w:line="240" w:lineRule="auto"/>
        <w:rPr>
          <w:rFonts w:ascii="Times New Roman" w:hAnsi="Times New Roman" w:eastAsia="Times New Roman"/>
          <w:sz w:val="24"/>
          <w:szCs w:val="24"/>
          <w:lang w:eastAsia="pt-BR"/>
        </w:rPr>
      </w:pPr>
    </w:p>
    <w:p w14:paraId="3FD71293">
      <w:pPr>
        <w:spacing w:before="100" w:beforeAutospacing="1" w:after="100" w:afterAutospacing="1" w:line="240" w:lineRule="auto"/>
        <w:rPr>
          <w:rFonts w:ascii="Times New Roman" w:hAnsi="Times New Roman" w:eastAsia="Times New Roman"/>
          <w:sz w:val="24"/>
          <w:szCs w:val="24"/>
          <w:lang w:eastAsia="pt-BR"/>
        </w:rPr>
      </w:pPr>
    </w:p>
    <w:p w14:paraId="62DF3DBB">
      <w:pPr>
        <w:spacing w:before="100" w:beforeAutospacing="1" w:after="100" w:afterAutospacing="1" w:line="240" w:lineRule="auto"/>
        <w:rPr>
          <w:rFonts w:ascii="Times New Roman" w:hAnsi="Times New Roman" w:eastAsia="Times New Roman"/>
          <w:sz w:val="24"/>
          <w:szCs w:val="24"/>
          <w:lang w:eastAsia="pt-BR"/>
        </w:rPr>
      </w:pPr>
    </w:p>
    <w:p w14:paraId="1A67E3EE">
      <w:pPr>
        <w:spacing w:before="100" w:beforeAutospacing="1" w:after="100" w:afterAutospacing="1" w:line="240" w:lineRule="auto"/>
        <w:jc w:val="center"/>
        <w:rPr>
          <w:rFonts w:ascii="Times New Roman" w:hAnsi="Times New Roman" w:eastAsia="Times New Roman"/>
          <w:sz w:val="24"/>
          <w:szCs w:val="24"/>
          <w:lang w:eastAsia="pt-BR"/>
        </w:rPr>
      </w:pPr>
      <w:r>
        <w:rPr>
          <w:rFonts w:ascii="Times New Roman" w:hAnsi="Times New Roman" w:eastAsia="Times New Roman"/>
          <w:sz w:val="24"/>
          <w:szCs w:val="24"/>
          <w:lang w:eastAsia="pt-BR"/>
        </w:rPr>
        <w:t>______________________________________________</w:t>
      </w:r>
    </w:p>
    <w:p w14:paraId="5C5DC7AD">
      <w:pPr>
        <w:spacing w:before="100" w:beforeAutospacing="1" w:after="100" w:afterAutospacing="1" w:line="240" w:lineRule="auto"/>
        <w:jc w:val="center"/>
        <w:rPr>
          <w:rFonts w:ascii="Times New Roman" w:hAnsi="Times New Roman" w:eastAsia="Times New Roman"/>
          <w:sz w:val="24"/>
          <w:szCs w:val="24"/>
          <w:lang w:eastAsia="pt-BR"/>
        </w:rPr>
      </w:pPr>
      <w:r>
        <w:rPr>
          <w:rFonts w:ascii="Times New Roman" w:hAnsi="Times New Roman" w:eastAsia="Times New Roman"/>
          <w:sz w:val="24"/>
          <w:szCs w:val="24"/>
          <w:lang w:eastAsia="pt-BR"/>
        </w:rPr>
        <w:t>LILIAN MATEUS FLORIANO COMODARO</w:t>
      </w:r>
    </w:p>
    <w:p w14:paraId="1C7D83DE">
      <w:pPr>
        <w:spacing w:before="100" w:beforeAutospacing="1" w:after="100" w:afterAutospacing="1" w:line="240" w:lineRule="auto"/>
        <w:jc w:val="center"/>
        <w:rPr>
          <w:rFonts w:ascii="Times New Roman" w:hAnsi="Times New Roman" w:eastAsia="Times New Roman"/>
          <w:sz w:val="24"/>
          <w:szCs w:val="24"/>
          <w:lang w:eastAsia="pt-BR"/>
        </w:rPr>
      </w:pPr>
      <w:r>
        <w:rPr>
          <w:rFonts w:ascii="Times New Roman" w:hAnsi="Times New Roman" w:eastAsia="Times New Roman"/>
          <w:sz w:val="24"/>
          <w:szCs w:val="24"/>
          <w:lang w:eastAsia="pt-BR"/>
        </w:rPr>
        <w:t>SECRETÁRIA MUNICIPAL DE EDUCAÇÃO</w:t>
      </w:r>
    </w:p>
    <w:p w14:paraId="651200AD">
      <w:pPr>
        <w:spacing w:before="100" w:beforeAutospacing="1" w:after="100" w:afterAutospacing="1" w:line="240" w:lineRule="auto"/>
        <w:jc w:val="center"/>
        <w:rPr>
          <w:rFonts w:ascii="Times New Roman" w:hAnsi="Times New Roman" w:eastAsia="Times New Roman"/>
          <w:sz w:val="24"/>
          <w:szCs w:val="24"/>
          <w:lang w:eastAsia="pt-BR"/>
        </w:rPr>
      </w:pPr>
    </w:p>
    <w:p w14:paraId="385728E0">
      <w:pPr>
        <w:spacing w:before="100" w:beforeAutospacing="1" w:after="100" w:afterAutospacing="1" w:line="240" w:lineRule="auto"/>
        <w:jc w:val="center"/>
        <w:rPr>
          <w:rFonts w:ascii="Times New Roman" w:hAnsi="Times New Roman" w:eastAsia="Times New Roman"/>
          <w:sz w:val="24"/>
          <w:szCs w:val="24"/>
          <w:lang w:eastAsia="pt-BR"/>
        </w:rPr>
      </w:pPr>
    </w:p>
    <w:p w14:paraId="7243A282">
      <w:pPr>
        <w:spacing w:before="100" w:beforeAutospacing="1" w:after="100" w:afterAutospacing="1" w:line="240" w:lineRule="auto"/>
        <w:jc w:val="center"/>
        <w:rPr>
          <w:rFonts w:ascii="Times New Roman" w:hAnsi="Times New Roman" w:eastAsia="Times New Roman"/>
          <w:sz w:val="24"/>
          <w:szCs w:val="24"/>
          <w:lang w:eastAsia="pt-BR"/>
        </w:rPr>
      </w:pPr>
    </w:p>
    <w:p w14:paraId="722F6477">
      <w:pPr>
        <w:spacing w:before="100" w:beforeAutospacing="1" w:after="100" w:afterAutospacing="1" w:line="240" w:lineRule="auto"/>
        <w:jc w:val="center"/>
        <w:rPr>
          <w:rFonts w:ascii="Times New Roman" w:hAnsi="Times New Roman" w:eastAsia="Times New Roman"/>
          <w:sz w:val="24"/>
          <w:szCs w:val="24"/>
          <w:lang w:eastAsia="pt-BR"/>
        </w:rPr>
      </w:pPr>
    </w:p>
    <w:p w14:paraId="76810744">
      <w:pPr>
        <w:spacing w:before="100" w:beforeAutospacing="1" w:after="100" w:afterAutospacing="1" w:line="240" w:lineRule="auto"/>
        <w:jc w:val="center"/>
        <w:rPr>
          <w:rFonts w:ascii="Times New Roman" w:hAnsi="Times New Roman" w:eastAsia="Times New Roman"/>
          <w:sz w:val="24"/>
          <w:szCs w:val="24"/>
          <w:lang w:eastAsia="pt-BR"/>
        </w:rPr>
      </w:pPr>
    </w:p>
    <w:p w14:paraId="76D2E1D4">
      <w:pPr>
        <w:pStyle w:val="55"/>
        <w:jc w:val="both"/>
        <w:rPr>
          <w:rFonts w:ascii="Arial" w:hAnsi="Arial" w:cs="Arial"/>
        </w:rPr>
      </w:pPr>
      <w:r>
        <w:rPr>
          <w:rFonts w:ascii="Times New Roman" w:hAnsi="Times New Roman" w:eastAsia="Times New Roman"/>
          <w:sz w:val="24"/>
          <w:szCs w:val="24"/>
          <w:lang w:eastAsia="pt-BR"/>
        </w:rPr>
        <w:t>RIFAINA 05/09/2024</w:t>
      </w:r>
    </w:p>
    <w:p w14:paraId="39198B26">
      <w:pPr>
        <w:pStyle w:val="55"/>
        <w:ind w:firstLine="3000" w:firstLineChars="1500"/>
        <w:jc w:val="both"/>
        <w:rPr>
          <w:rFonts w:hint="default" w:eastAsia="Arial Unicode MS" w:asciiTheme="minorHAnsi" w:hAnsiTheme="minorHAnsi" w:cstheme="minorHAnsi"/>
          <w:sz w:val="20"/>
          <w:szCs w:val="20"/>
          <w:lang w:val="pt-BR"/>
        </w:rPr>
      </w:pPr>
    </w:p>
    <w:p w14:paraId="14525180">
      <w:pPr>
        <w:pStyle w:val="55"/>
        <w:ind w:firstLine="3000" w:firstLineChars="1500"/>
        <w:jc w:val="both"/>
        <w:rPr>
          <w:rFonts w:hint="default" w:eastAsia="Arial Unicode MS" w:asciiTheme="minorHAnsi" w:hAnsiTheme="minorHAnsi" w:cstheme="minorHAnsi"/>
          <w:sz w:val="20"/>
          <w:szCs w:val="20"/>
          <w:lang w:val="pt-BR"/>
        </w:rPr>
      </w:pPr>
    </w:p>
    <w:p w14:paraId="04CF20A4">
      <w:pPr>
        <w:pStyle w:val="55"/>
        <w:ind w:firstLine="3000" w:firstLineChars="1500"/>
        <w:jc w:val="both"/>
        <w:rPr>
          <w:rFonts w:hint="default" w:eastAsia="Arial Unicode MS" w:asciiTheme="minorHAnsi" w:hAnsiTheme="minorHAnsi" w:cstheme="minorHAnsi"/>
          <w:sz w:val="20"/>
          <w:szCs w:val="20"/>
          <w:lang w:val="pt-BR"/>
        </w:rPr>
      </w:pPr>
    </w:p>
    <w:p w14:paraId="11203280">
      <w:pPr>
        <w:pStyle w:val="55"/>
        <w:ind w:firstLine="3000" w:firstLineChars="1500"/>
        <w:jc w:val="both"/>
        <w:rPr>
          <w:rFonts w:hint="default" w:eastAsia="Arial Unicode MS" w:asciiTheme="minorHAnsi" w:hAnsiTheme="minorHAnsi" w:cstheme="minorHAnsi"/>
          <w:sz w:val="20"/>
          <w:szCs w:val="20"/>
          <w:lang w:val="pt-BR"/>
        </w:rPr>
      </w:pPr>
    </w:p>
    <w:p w14:paraId="660AE18D">
      <w:pPr>
        <w:pStyle w:val="55"/>
        <w:ind w:firstLine="3000" w:firstLineChars="1500"/>
        <w:jc w:val="both"/>
        <w:rPr>
          <w:rFonts w:hint="default" w:eastAsia="Arial Unicode MS" w:asciiTheme="minorHAnsi" w:hAnsiTheme="minorHAnsi" w:cstheme="minorHAnsi"/>
          <w:sz w:val="20"/>
          <w:szCs w:val="20"/>
          <w:lang w:val="pt-BR"/>
        </w:rPr>
      </w:pPr>
    </w:p>
    <w:p w14:paraId="0D4F3FF0">
      <w:pPr>
        <w:pStyle w:val="55"/>
        <w:ind w:firstLine="3000" w:firstLineChars="1500"/>
        <w:jc w:val="both"/>
        <w:rPr>
          <w:rFonts w:hint="default" w:eastAsia="Arial Unicode MS" w:asciiTheme="minorHAnsi" w:hAnsiTheme="minorHAnsi" w:cstheme="minorHAnsi"/>
          <w:sz w:val="20"/>
          <w:szCs w:val="20"/>
          <w:lang w:val="pt-BR"/>
        </w:rPr>
      </w:pPr>
    </w:p>
    <w:p w14:paraId="01B2BBF0">
      <w:pPr>
        <w:pStyle w:val="55"/>
        <w:ind w:firstLine="3000" w:firstLineChars="1500"/>
        <w:jc w:val="both"/>
        <w:rPr>
          <w:rFonts w:hint="default" w:eastAsia="Arial Unicode MS" w:asciiTheme="minorHAnsi" w:hAnsiTheme="minorHAnsi" w:cstheme="minorHAnsi"/>
          <w:sz w:val="20"/>
          <w:szCs w:val="20"/>
          <w:lang w:val="pt-BR"/>
        </w:rPr>
      </w:pPr>
    </w:p>
    <w:p w14:paraId="32C241A8">
      <w:pPr>
        <w:pStyle w:val="55"/>
        <w:ind w:firstLine="3000" w:firstLineChars="1500"/>
        <w:jc w:val="both"/>
        <w:rPr>
          <w:rFonts w:hint="default" w:eastAsia="Arial Unicode MS" w:asciiTheme="minorHAnsi" w:hAnsiTheme="minorHAnsi" w:cstheme="minorHAnsi"/>
          <w:sz w:val="20"/>
          <w:szCs w:val="20"/>
          <w:lang w:val="pt-BR"/>
        </w:rPr>
      </w:pPr>
    </w:p>
    <w:p w14:paraId="5CE46C81">
      <w:pPr>
        <w:pStyle w:val="55"/>
        <w:ind w:firstLine="3000" w:firstLineChars="1500"/>
        <w:jc w:val="both"/>
        <w:rPr>
          <w:rFonts w:hint="default" w:eastAsia="Arial Unicode MS" w:asciiTheme="minorHAnsi" w:hAnsiTheme="minorHAnsi" w:cstheme="minorHAnsi"/>
          <w:sz w:val="20"/>
          <w:szCs w:val="20"/>
          <w:lang w:val="pt-BR"/>
        </w:rPr>
      </w:pPr>
    </w:p>
    <w:p w14:paraId="58E70990">
      <w:pPr>
        <w:pStyle w:val="55"/>
        <w:ind w:firstLine="3000" w:firstLineChars="1500"/>
        <w:jc w:val="both"/>
        <w:rPr>
          <w:rFonts w:hint="default" w:eastAsia="Arial Unicode MS" w:asciiTheme="minorHAnsi" w:hAnsiTheme="minorHAnsi" w:cstheme="minorHAnsi"/>
          <w:sz w:val="20"/>
          <w:szCs w:val="20"/>
          <w:lang w:val="pt-BR"/>
        </w:rPr>
      </w:pPr>
    </w:p>
    <w:p w14:paraId="48921F04">
      <w:pPr>
        <w:pStyle w:val="55"/>
        <w:ind w:firstLine="3000" w:firstLineChars="1500"/>
        <w:jc w:val="both"/>
        <w:rPr>
          <w:rFonts w:hint="default" w:eastAsia="Arial Unicode MS" w:asciiTheme="minorHAnsi" w:hAnsiTheme="minorHAnsi" w:cstheme="minorHAnsi"/>
          <w:sz w:val="20"/>
          <w:szCs w:val="20"/>
          <w:lang w:val="pt-BR"/>
        </w:rPr>
      </w:pPr>
    </w:p>
    <w:p w14:paraId="38E9F7F3">
      <w:pPr>
        <w:pStyle w:val="55"/>
        <w:ind w:firstLine="3000" w:firstLineChars="1500"/>
        <w:jc w:val="both"/>
        <w:rPr>
          <w:rFonts w:hint="default" w:eastAsia="Arial Unicode MS" w:asciiTheme="minorHAnsi" w:hAnsiTheme="minorHAnsi" w:cstheme="minorHAnsi"/>
          <w:sz w:val="20"/>
          <w:szCs w:val="20"/>
          <w:lang w:val="pt-BR"/>
        </w:rPr>
      </w:pPr>
    </w:p>
    <w:p w14:paraId="7B8736C1">
      <w:pPr>
        <w:pStyle w:val="55"/>
        <w:ind w:firstLine="3800" w:firstLineChars="19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362</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289</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p w14:paraId="692D6513">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04 metros de tubo galvanizado de 2 1/2", 12 roscas em tubo galvanizado de 2 1/2"</w:t>
      </w:r>
    </w:p>
    <w:p w14:paraId="00EBE94D">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04 cotovelos galvanizados de 2 1/2", 03 luvas galvanizadas com assento de bronze de 2 1/2"</w:t>
      </w:r>
    </w:p>
    <w:p w14:paraId="0C749EF2">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04 barras de eletroduto zincado de 3/4", 12 conduletes múltiplos de 3/4" com tampa cega</w:t>
      </w:r>
    </w:p>
    <w:p w14:paraId="00024075">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32 unidades múltiplos de 3/4" x 3/4",15 metros de fio polarizado 2x1,5mm</w:t>
      </w:r>
    </w:p>
    <w:p w14:paraId="344C836D">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100 metros de cabo flexível 1,5mm x 750v (cores variadas), 18 mãos francesas reforçadas de 200mm</w:t>
      </w:r>
    </w:p>
    <w:p w14:paraId="0193D591">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100 parafusos com bucha S10 sextavados com arruela lisa, 03 rolos de fita isolante 3M de 20 metros</w:t>
      </w:r>
    </w:p>
    <w:p w14:paraId="38F05856">
      <w:p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 15 unidades de veda roscam de 50 metros, 02 litros de zarcão laranja</w:t>
      </w:r>
    </w:p>
    <w:p w14:paraId="29FED7D8">
      <w:pPr>
        <w:spacing w:before="100" w:beforeAutospacing="1" w:after="100" w:afterAutospacing="1" w:line="240" w:lineRule="auto"/>
        <w:rPr>
          <w:rFonts w:ascii="Times New Roman" w:hAnsi="Times New Roman" w:eastAsia="Times New Roman"/>
          <w:sz w:val="24"/>
          <w:szCs w:val="24"/>
          <w:lang w:eastAsia="pt-BR"/>
        </w:rPr>
      </w:pPr>
      <w:r>
        <w:rPr>
          <w:rFonts w:ascii="Times New Roman" w:hAnsi="Times New Roman" w:eastAsia="Times New Roman"/>
          <w:sz w:val="24"/>
          <w:szCs w:val="24"/>
          <w:lang w:eastAsia="pt-BR"/>
        </w:rPr>
        <w:t>Os serviços a serem executados incluem:</w:t>
      </w:r>
    </w:p>
    <w:p w14:paraId="2E972057">
      <w:pPr>
        <w:numPr>
          <w:ilvl w:val="0"/>
          <w:numId w:val="9"/>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Deslocamento da tubulação de incêndio externa, garantindo que a nova localização atenda às normas vigentes de segurança contra incêndio e pânico.</w:t>
      </w:r>
    </w:p>
    <w:p w14:paraId="0370ADBB">
      <w:pPr>
        <w:numPr>
          <w:ilvl w:val="0"/>
          <w:numId w:val="9"/>
        </w:numPr>
        <w:spacing w:before="100" w:beforeAutospacing="1" w:after="100" w:afterAutospacing="1" w:line="240" w:lineRule="auto"/>
        <w:jc w:val="both"/>
        <w:rPr>
          <w:rFonts w:ascii="Times New Roman" w:hAnsi="Times New Roman" w:eastAsia="Times New Roman"/>
          <w:sz w:val="24"/>
          <w:szCs w:val="24"/>
          <w:lang w:eastAsia="pt-BR"/>
        </w:rPr>
      </w:pPr>
      <w:r>
        <w:rPr>
          <w:rFonts w:ascii="Times New Roman" w:hAnsi="Times New Roman" w:eastAsia="Times New Roman"/>
          <w:sz w:val="24"/>
          <w:szCs w:val="24"/>
          <w:lang w:eastAsia="pt-BR"/>
        </w:rPr>
        <w:t>Readequação da fiação elétrica, incluindo toda a instalação necessária para o funcionamento adequado do sistema de incêndio.</w:t>
      </w:r>
    </w:p>
    <w:p w14:paraId="2E163153">
      <w:pPr>
        <w:rPr>
          <w:rFonts w:ascii="Times New Roman" w:hAnsi="Times New Roman" w:eastAsia="Times New Roman"/>
          <w:sz w:val="24"/>
          <w:szCs w:val="24"/>
          <w:lang w:eastAsia="pt-BR"/>
        </w:rPr>
      </w:pPr>
      <w:r>
        <w:rPr>
          <w:rFonts w:ascii="Times New Roman" w:hAnsi="Times New Roman" w:eastAsia="Times New Roman"/>
          <w:sz w:val="24"/>
          <w:szCs w:val="24"/>
          <w:lang w:eastAsia="pt-BR"/>
        </w:rPr>
        <w:t>Mudança dos condolentes da bomba de incêndio e sirene, assegurando sua funcionalidade e conformidade com as normas técnicas</w:t>
      </w:r>
    </w:p>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Contratação de empresa especializada para realizar o deslocamento da tubulação de incêndio externa e a mudança da fiação, bomba de incêndio e sirene no Ginásio Esportivo da Prefeitura Municipal de Rifaina( NIVALDO A. VIANA), localização na escola municipal João Ethebehere; sob o endereço Rua: Barão de Rifaina nº 390; cadastro imobiliário: 000000331; em conformidade com as diretrizes estabelecidas na Lei Federal nº 14.133/2021.</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4FF5"/>
    <w:multiLevelType w:val="multilevel"/>
    <w:tmpl w:val="065D4F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1CEB1F4A"/>
    <w:multiLevelType w:val="multilevel"/>
    <w:tmpl w:val="1CEB1F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5">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6">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7">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8">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9">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10">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1">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3">
    <w:nsid w:val="7C4F3910"/>
    <w:multiLevelType w:val="multilevel"/>
    <w:tmpl w:val="7C4F39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1"/>
  </w:num>
  <w:num w:numId="3">
    <w:abstractNumId w:val="5"/>
  </w:num>
  <w:num w:numId="4">
    <w:abstractNumId w:val="11"/>
  </w:num>
  <w:num w:numId="5">
    <w:abstractNumId w:val="8"/>
  </w:num>
  <w:num w:numId="6">
    <w:abstractNumId w:val="9"/>
  </w:num>
  <w:num w:numId="7">
    <w:abstractNumId w:val="6"/>
  </w:num>
  <w:num w:numId="8">
    <w:abstractNumId w:val="10"/>
  </w:num>
  <w:num w:numId="9">
    <w:abstractNumId w:val="0"/>
  </w:num>
  <w:num w:numId="10">
    <w:abstractNumId w:val="2"/>
  </w:num>
  <w:num w:numId="11">
    <w:abstractNumId w:val="13"/>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6E57008"/>
    <w:rsid w:val="0D3F20DD"/>
    <w:rsid w:val="0D9D202A"/>
    <w:rsid w:val="114A1C1D"/>
    <w:rsid w:val="13A3199E"/>
    <w:rsid w:val="2ACB710A"/>
    <w:rsid w:val="39DD50DD"/>
    <w:rsid w:val="3D8D7669"/>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17</Pages>
  <Words>1888</Words>
  <Characters>10200</Characters>
  <Lines>85</Lines>
  <Paragraphs>24</Paragraphs>
  <TotalTime>7</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2024-09-17T11:28:23Z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