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73</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46</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u w:val="single"/>
          <w:lang w:val="pt-BR"/>
        </w:rPr>
        <w:t>09</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15</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08:30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u w:val="single"/>
          <w:lang w:val="pt-BR"/>
        </w:rPr>
        <w:t>15</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09h05min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06</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cs="Times New Roman"/>
          <w:b/>
          <w:sz w:val="22"/>
          <w:szCs w:val="22"/>
        </w:rPr>
      </w:pPr>
    </w:p>
    <w:p w14:paraId="544C304C">
      <w:pPr>
        <w:spacing w:line="360" w:lineRule="auto"/>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CÓDIGO DA FICHA: 30</w:t>
      </w:r>
    </w:p>
    <w:p w14:paraId="117E8E22">
      <w:pPr>
        <w:spacing w:line="360" w:lineRule="auto"/>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Órgão: 02 PREFEITURA MUNICIPAL</w:t>
      </w:r>
    </w:p>
    <w:p w14:paraId="09E5B193">
      <w:pPr>
        <w:spacing w:line="360" w:lineRule="auto"/>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Unidade: 03 SECRETARIA MUNICIPAL DE GOVERNO</w:t>
      </w:r>
    </w:p>
    <w:p w14:paraId="69A12A3E">
      <w:pPr>
        <w:spacing w:line="360" w:lineRule="auto"/>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Dotação: 04.124.0004.2004.0000</w:t>
      </w:r>
    </w:p>
    <w:p w14:paraId="0659B201">
      <w:pPr>
        <w:spacing w:line="360" w:lineRule="auto"/>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Planejamento, Avaliação e Monitoramento das Ações de Governo</w:t>
      </w:r>
    </w:p>
    <w:p w14:paraId="49312107">
      <w:pPr>
        <w:spacing w:line="360" w:lineRule="auto"/>
        <w:jc w:val="both"/>
        <w:rPr>
          <w:rFonts w:ascii="Times New Roman" w:hAnsi="Times New Roman" w:eastAsia="Courier New" w:cs="Times New Roman"/>
          <w:b w:val="0"/>
          <w:bCs/>
          <w:sz w:val="22"/>
          <w:szCs w:val="22"/>
          <w:lang w:val="pt-PT" w:eastAsia="en-US" w:bidi="ar-SA"/>
        </w:rPr>
      </w:pPr>
      <w:r>
        <w:rPr>
          <w:rFonts w:ascii="Times New Roman" w:hAnsi="Times New Roman" w:eastAsia="Courier New" w:cs="Times New Roman"/>
          <w:b w:val="0"/>
          <w:bCs/>
          <w:sz w:val="22"/>
          <w:szCs w:val="22"/>
          <w:lang w:val="pt-PT" w:eastAsia="en-US" w:bidi="ar-SA"/>
        </w:rPr>
        <w:t>3.3.90.32.00 MATERIAL, BEM OU SERVIÇO PARA DISTRIBUIÇÃO GRATUITA</w:t>
      </w:r>
    </w:p>
    <w:p w14:paraId="292858AA">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eastAsia="Courier New" w:cs="Times New Roman"/>
          <w:b/>
          <w:sz w:val="22"/>
          <w:szCs w:val="22"/>
          <w:lang w:val="pt-PT" w:eastAsia="en-US" w:bidi="ar-SA"/>
        </w:rPr>
      </w:pPr>
    </w:p>
    <w:p w14:paraId="13090284">
      <w:pPr>
        <w:pStyle w:val="10"/>
        <w:spacing w:before="61"/>
        <w:ind w:left="0"/>
        <w:jc w:val="left"/>
        <w:rPr>
          <w:rFonts w:ascii="Times New Roman" w:hAnsi="Times New Roman" w:cs="Times New Roman"/>
          <w:b/>
          <w:sz w:val="22"/>
          <w:szCs w:val="22"/>
        </w:rPr>
      </w:pPr>
    </w:p>
    <w:p w14:paraId="39DF5121">
      <w:pPr>
        <w:pStyle w:val="17"/>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cs="Times New Roman"/>
          <w:b/>
          <w:spacing w:val="-2"/>
          <w:w w:val="120"/>
          <w:lang w:val="pt-BR"/>
        </w:rPr>
        <w:t>REGISTRO DE PREÇO PARA AQUISIÇÃO DE TÊNIS PARA ALUNOS DA REDE ESCOLAR MUNICIPAL</w:t>
      </w:r>
      <w:r>
        <w:rPr>
          <w:rFonts w:ascii="Times New Roman" w:hAnsi="Times New Roman" w:cs="Times New Roman"/>
          <w:w w:val="115"/>
          <w:sz w:val="24"/>
          <w:szCs w:val="24"/>
        </w:rPr>
        <w:t>, conforme condições, quantidades e exigências estabelecidas neste Aviso de Contratação Direta e seus anexos.</w:t>
      </w:r>
    </w:p>
    <w:p w14:paraId="1AEFBDFB">
      <w:pPr>
        <w:pStyle w:val="17"/>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 xml:space="preserve">09h05min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 xml:space="preserve">06 </w:t>
      </w:r>
      <w:r>
        <w:rPr>
          <w:rFonts w:ascii="Times New Roman" w:hAnsi="Times New Roman" w:cs="Times New Roman"/>
          <w:color w:val="000000"/>
          <w:w w:val="115"/>
        </w:rPr>
        <w:t>(seis) horas de disputa.</w:t>
      </w:r>
    </w:p>
    <w:p w14:paraId="7E3AEEBC">
      <w:pPr>
        <w:pStyle w:val="17"/>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 xml:space="preserve">06 </w:t>
      </w:r>
      <w:r>
        <w:rPr>
          <w:rFonts w:ascii="Times New Roman" w:hAnsi="Times New Roman" w:cs="Times New Roman"/>
          <w:w w:val="110"/>
        </w:rPr>
        <w:t>(seis) horas de disputa, haverá o seu encerramento, com o ordenamento e divulgação dos lances, pelo sistema, em ordem crescente de classificação.</w:t>
      </w:r>
    </w:p>
    <w:p w14:paraId="1C7A51A3">
      <w:pPr>
        <w:pStyle w:val="17"/>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45.85pt;width:27.75pt;mso-position-horizontal-relative:page;mso-position-vertical-relative:page;z-index:251665408;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HJHyZuwEAAIQDAAAOAAAAZHJzL2Uyb0RvYy54bWyt&#10;U8Fu2zAMvQ/YPwi6L069Zu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q+35TX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HJHyZuwEAAIQDAAAOAAAAAAAAAAEAIAAAACkBAABkcnMvZTJvRG9jLnht&#10;bFBLBQYAAAAABgAGAFkBAABWBQAAAAA=&#10;">
                <v:fill on="f" focussize="0,0"/>
                <v:stroke on="f"/>
                <v:imagedata o:title=""/>
                <o:lock v:ext="edit" aspectratio="f"/>
                <v:textbox inset="0mm,0mm,0mm,0mm" style="layout-flow:vertical;mso-layout-flow-alt:bottom-to-top;">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7"/>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7"/>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spacing w:val="4"/>
          <w:w w:val="115"/>
          <w:sz w:val="22"/>
          <w:szCs w:val="22"/>
          <w:lang w:val="pt-BR"/>
        </w:rPr>
        <w:t xml:space="preserve">08 de maio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cs="Times New Roman"/>
          <w:b/>
          <w:sz w:val="22"/>
          <w:szCs w:val="22"/>
        </w:rPr>
      </w:pPr>
    </w:p>
    <w:p w14:paraId="33B42037">
      <w:pPr>
        <w:pStyle w:val="17"/>
        <w:numPr>
          <w:ilvl w:val="0"/>
          <w:numId w:val="12"/>
        </w:numPr>
        <w:tabs>
          <w:tab w:val="left" w:pos="524"/>
          <w:tab w:val="left" w:pos="1540"/>
        </w:tabs>
        <w:spacing w:before="1"/>
        <w:ind w:left="239" w:leftChars="0" w:hanging="239" w:firstLineChars="0"/>
        <w:rPr>
          <w:rFonts w:ascii="Times New Roman" w:hAnsi="Times New Roman" w:cs="Times New Roman"/>
          <w:b/>
          <w:spacing w:val="-2"/>
          <w:w w:val="120"/>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REGISTRO DE PREÇO PARA AQUISIÇÃO DE TÊNIS PARA ALUNOS DA REDE ESCOLAR MUNICIPAL</w:t>
      </w:r>
    </w:p>
    <w:p w14:paraId="6AD980BA">
      <w:pPr>
        <w:pStyle w:val="17"/>
        <w:numPr>
          <w:ilvl w:val="0"/>
          <w:numId w:val="12"/>
        </w:numPr>
        <w:tabs>
          <w:tab w:val="left" w:pos="524"/>
          <w:tab w:val="left" w:pos="1540"/>
        </w:tabs>
        <w:spacing w:before="1"/>
        <w:ind w:left="239" w:leftChars="0" w:hanging="239" w:firstLineChars="0"/>
        <w:rPr>
          <w:rFonts w:ascii="Times New Roman" w:hAnsi="Times New Roman" w:cs="Times New Roman"/>
          <w:b/>
          <w:spacing w:val="-2"/>
          <w:w w:val="120"/>
          <w:lang w:eastAsia="en-US"/>
        </w:rPr>
      </w:pPr>
    </w:p>
    <w:tbl>
      <w:tblPr>
        <w:tblStyle w:val="7"/>
        <w:tblW w:w="9099" w:type="dxa"/>
        <w:tblInd w:w="0" w:type="dxa"/>
        <w:tblLayout w:type="fixed"/>
        <w:tblCellMar>
          <w:top w:w="0" w:type="dxa"/>
          <w:left w:w="70" w:type="dxa"/>
          <w:bottom w:w="0" w:type="dxa"/>
          <w:right w:w="70" w:type="dxa"/>
        </w:tblCellMar>
      </w:tblPr>
      <w:tblGrid>
        <w:gridCol w:w="709"/>
        <w:gridCol w:w="3118"/>
        <w:gridCol w:w="680"/>
        <w:gridCol w:w="3118"/>
        <w:gridCol w:w="1474"/>
      </w:tblGrid>
      <w:tr w14:paraId="309855AB">
        <w:tblPrEx>
          <w:tblCellMar>
            <w:top w:w="0" w:type="dxa"/>
            <w:left w:w="70" w:type="dxa"/>
            <w:bottom w:w="0" w:type="dxa"/>
            <w:right w:w="70" w:type="dxa"/>
          </w:tblCellMar>
        </w:tblPrEx>
        <w:trPr>
          <w:trHeight w:val="379" w:hRule="atLeast"/>
        </w:trPr>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14:paraId="51342C44">
            <w:pPr>
              <w:ind w:left="-57" w:right="-57"/>
              <w:jc w:val="center"/>
              <w:rPr>
                <w:rFonts w:ascii="Arial" w:hAnsi="Arial" w:cs="Arial"/>
                <w:b/>
                <w:color w:val="000000"/>
                <w:lang w:eastAsia="pt-BR"/>
              </w:rPr>
            </w:pPr>
            <w:r>
              <w:rPr>
                <w:rFonts w:ascii="Arial" w:hAnsi="Arial" w:cs="Arial"/>
                <w:b/>
                <w:color w:val="000000"/>
                <w:lang w:eastAsia="pt-BR"/>
              </w:rPr>
              <w:t>ITEM</w:t>
            </w:r>
          </w:p>
        </w:tc>
        <w:tc>
          <w:tcPr>
            <w:tcW w:w="3118" w:type="dxa"/>
            <w:tcBorders>
              <w:top w:val="single" w:color="auto" w:sz="12" w:space="0"/>
              <w:left w:val="nil"/>
              <w:bottom w:val="single" w:color="auto" w:sz="12" w:space="0"/>
              <w:right w:val="single" w:color="auto" w:sz="12" w:space="0"/>
            </w:tcBorders>
            <w:shd w:val="clear" w:color="auto" w:fill="auto"/>
            <w:vAlign w:val="center"/>
          </w:tcPr>
          <w:p w14:paraId="59930CD6">
            <w:pPr>
              <w:ind w:left="-113" w:right="-113"/>
              <w:jc w:val="center"/>
              <w:rPr>
                <w:rFonts w:ascii="Arial" w:hAnsi="Arial" w:cs="Arial"/>
                <w:b/>
                <w:color w:val="000000"/>
                <w:lang w:eastAsia="pt-BR"/>
              </w:rPr>
            </w:pPr>
            <w:r>
              <w:rPr>
                <w:rFonts w:ascii="Arial" w:hAnsi="Arial" w:cs="Arial"/>
                <w:b/>
                <w:color w:val="000000"/>
                <w:lang w:eastAsia="pt-BR"/>
              </w:rPr>
              <w:t>PRODUTO</w:t>
            </w:r>
          </w:p>
        </w:tc>
        <w:tc>
          <w:tcPr>
            <w:tcW w:w="680" w:type="dxa"/>
            <w:tcBorders>
              <w:top w:val="single" w:color="auto" w:sz="12" w:space="0"/>
              <w:left w:val="nil"/>
              <w:bottom w:val="single" w:color="auto" w:sz="12" w:space="0"/>
              <w:right w:val="single" w:color="auto" w:sz="12" w:space="0"/>
            </w:tcBorders>
            <w:vAlign w:val="center"/>
          </w:tcPr>
          <w:p w14:paraId="7960494D">
            <w:pPr>
              <w:ind w:left="-57" w:right="-57"/>
              <w:jc w:val="center"/>
              <w:rPr>
                <w:rFonts w:ascii="Arial" w:hAnsi="Arial" w:cs="Arial"/>
                <w:b/>
                <w:color w:val="000000"/>
                <w:lang w:eastAsia="pt-BR"/>
              </w:rPr>
            </w:pPr>
            <w:r>
              <w:rPr>
                <w:rFonts w:ascii="Arial" w:hAnsi="Arial" w:cs="Arial"/>
                <w:b/>
                <w:color w:val="000000"/>
                <w:lang w:eastAsia="pt-BR"/>
              </w:rPr>
              <w:t>UNID</w:t>
            </w:r>
          </w:p>
        </w:tc>
        <w:tc>
          <w:tcPr>
            <w:tcW w:w="3118" w:type="dxa"/>
            <w:tcBorders>
              <w:top w:val="single" w:color="auto" w:sz="12" w:space="0"/>
              <w:left w:val="single" w:color="auto" w:sz="12" w:space="0"/>
              <w:bottom w:val="single" w:color="auto" w:sz="12" w:space="0"/>
              <w:right w:val="single" w:color="auto" w:sz="12" w:space="0"/>
            </w:tcBorders>
            <w:vAlign w:val="center"/>
          </w:tcPr>
          <w:p w14:paraId="70C4456B">
            <w:pPr>
              <w:jc w:val="center"/>
              <w:rPr>
                <w:rFonts w:ascii="Arial" w:hAnsi="Arial" w:cs="Arial"/>
                <w:b/>
                <w:color w:val="000000"/>
                <w:lang w:eastAsia="pt-BR"/>
              </w:rPr>
            </w:pPr>
            <w:r>
              <w:rPr>
                <w:rFonts w:ascii="Arial" w:hAnsi="Arial" w:cs="Arial"/>
                <w:b/>
                <w:color w:val="000000"/>
                <w:lang w:eastAsia="pt-BR"/>
              </w:rPr>
              <w:t>QUANTIDADE POR TAMANHOS</w:t>
            </w:r>
          </w:p>
        </w:tc>
        <w:tc>
          <w:tcPr>
            <w:tcW w:w="1474" w:type="dxa"/>
            <w:tcBorders>
              <w:top w:val="single" w:color="auto" w:sz="12" w:space="0"/>
              <w:left w:val="single" w:color="auto" w:sz="12" w:space="0"/>
              <w:bottom w:val="single" w:color="auto" w:sz="12" w:space="0"/>
              <w:right w:val="single" w:color="auto" w:sz="12" w:space="0"/>
            </w:tcBorders>
            <w:vAlign w:val="center"/>
          </w:tcPr>
          <w:p w14:paraId="34A81E1F">
            <w:pPr>
              <w:ind w:left="-57" w:right="-57"/>
              <w:jc w:val="center"/>
              <w:rPr>
                <w:rFonts w:ascii="Arial" w:hAnsi="Arial" w:cs="Arial"/>
                <w:b/>
                <w:color w:val="000000"/>
                <w:lang w:eastAsia="pt-BR"/>
              </w:rPr>
            </w:pPr>
            <w:r>
              <w:rPr>
                <w:rFonts w:ascii="Arial" w:hAnsi="Arial" w:cs="Arial"/>
                <w:b/>
                <w:color w:val="000000"/>
                <w:lang w:eastAsia="pt-BR"/>
              </w:rPr>
              <w:t>QUANTIDADE TOTAL</w:t>
            </w:r>
          </w:p>
        </w:tc>
      </w:tr>
      <w:tr w14:paraId="426E0ECC">
        <w:tblPrEx>
          <w:tblCellMar>
            <w:top w:w="0" w:type="dxa"/>
            <w:left w:w="70" w:type="dxa"/>
            <w:bottom w:w="0" w:type="dxa"/>
            <w:right w:w="70" w:type="dxa"/>
          </w:tblCellMar>
        </w:tblPrEx>
        <w:trPr>
          <w:trHeight w:val="915" w:hRule="atLeast"/>
        </w:trPr>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14:paraId="5F1B42C2">
            <w:pPr>
              <w:jc w:val="center"/>
              <w:rPr>
                <w:rFonts w:ascii="Arial" w:hAnsi="Arial" w:cs="Arial"/>
                <w:color w:val="000000"/>
                <w:lang w:eastAsia="pt-BR"/>
              </w:rPr>
            </w:pPr>
            <w:r>
              <w:rPr>
                <w:rFonts w:ascii="Arial" w:hAnsi="Arial" w:cs="Arial"/>
                <w:sz w:val="24"/>
                <w:szCs w:val="24"/>
              </w:rPr>
              <w:t>1.</w:t>
            </w:r>
          </w:p>
        </w:tc>
        <w:tc>
          <w:tcPr>
            <w:tcW w:w="3118" w:type="dxa"/>
            <w:tcBorders>
              <w:top w:val="single" w:color="auto" w:sz="12" w:space="0"/>
              <w:left w:val="nil"/>
              <w:bottom w:val="single" w:color="auto" w:sz="12" w:space="0"/>
              <w:right w:val="single" w:color="auto" w:sz="12" w:space="0"/>
            </w:tcBorders>
            <w:shd w:val="clear" w:color="auto" w:fill="auto"/>
            <w:vAlign w:val="center"/>
          </w:tcPr>
          <w:p w14:paraId="42126187">
            <w:pPr>
              <w:jc w:val="center"/>
              <w:textAlignment w:val="baseline"/>
              <w:rPr>
                <w:rFonts w:ascii="Arial" w:hAnsi="Arial" w:cs="Arial"/>
                <w:b/>
                <w:sz w:val="24"/>
                <w:szCs w:val="24"/>
              </w:rPr>
            </w:pPr>
            <w:r>
              <w:rPr>
                <w:rFonts w:ascii="Arial" w:hAnsi="Arial" w:cs="Arial"/>
                <w:b/>
                <w:sz w:val="24"/>
                <w:szCs w:val="24"/>
              </w:rPr>
              <w:t xml:space="preserve">Tênis para uso Escolar - </w:t>
            </w:r>
          </w:p>
          <w:p w14:paraId="33DCEAD0">
            <w:pPr>
              <w:jc w:val="both"/>
              <w:rPr>
                <w:rFonts w:ascii="Arial" w:hAnsi="Arial" w:cs="Arial"/>
                <w:sz w:val="24"/>
                <w:szCs w:val="24"/>
                <w:lang w:eastAsia="pt-BR"/>
              </w:rPr>
            </w:pPr>
            <w:r>
              <w:rPr>
                <w:rFonts w:ascii="Arial" w:hAnsi="Arial" w:cs="Arial"/>
                <w:sz w:val="24"/>
                <w:szCs w:val="24"/>
                <w:lang w:eastAsia="pt-BR"/>
              </w:rPr>
              <w:t>Tênis para uso escolar grade 18 ao 25 fechamento em Cadarço, apropriado para caminhadas, corridas leves, prática de esportes difusos moderados, uso diário, leve, versátil, resistente, duradouro, confortável, produzido e confeccionado a partir de duas partes distintas (CABEDAL e SOLADO) nas quais são unidas pelo processo de adesivos a base de água, trazendo benefícios ao meio ambiente no qual não receberá dejetos químicos dos adesivos.</w:t>
            </w:r>
          </w:p>
        </w:tc>
        <w:tc>
          <w:tcPr>
            <w:tcW w:w="680" w:type="dxa"/>
            <w:tcBorders>
              <w:top w:val="single" w:color="auto" w:sz="12" w:space="0"/>
              <w:left w:val="nil"/>
              <w:bottom w:val="single" w:color="auto" w:sz="12" w:space="0"/>
              <w:right w:val="single" w:color="auto" w:sz="12" w:space="0"/>
            </w:tcBorders>
            <w:vAlign w:val="center"/>
          </w:tcPr>
          <w:p w14:paraId="3D28FB57">
            <w:pPr>
              <w:jc w:val="center"/>
              <w:textAlignment w:val="baseline"/>
              <w:rPr>
                <w:rFonts w:ascii="Arial" w:hAnsi="Arial" w:cs="Arial"/>
                <w:sz w:val="24"/>
                <w:szCs w:val="24"/>
              </w:rPr>
            </w:pPr>
            <w:r>
              <w:rPr>
                <w:rFonts w:ascii="Arial" w:hAnsi="Arial" w:cs="Arial"/>
                <w:sz w:val="24"/>
                <w:szCs w:val="24"/>
              </w:rPr>
              <w:t>PAR</w:t>
            </w:r>
          </w:p>
        </w:tc>
        <w:tc>
          <w:tcPr>
            <w:tcW w:w="3118" w:type="dxa"/>
            <w:tcBorders>
              <w:top w:val="single" w:color="auto" w:sz="12" w:space="0"/>
              <w:left w:val="single" w:color="auto" w:sz="12" w:space="0"/>
              <w:bottom w:val="single" w:color="auto" w:sz="12" w:space="0"/>
              <w:right w:val="single" w:color="auto" w:sz="12" w:space="0"/>
            </w:tcBorders>
            <w:vAlign w:val="center"/>
          </w:tcPr>
          <w:p w14:paraId="683F00E9">
            <w:pPr>
              <w:spacing w:after="60"/>
              <w:jc w:val="center"/>
              <w:textAlignment w:val="baseline"/>
              <w:rPr>
                <w:rFonts w:ascii="Arial" w:hAnsi="Arial" w:cs="Arial"/>
                <w:sz w:val="24"/>
                <w:szCs w:val="24"/>
              </w:rPr>
            </w:pPr>
            <w:r>
              <w:rPr>
                <w:rFonts w:ascii="Arial" w:hAnsi="Arial" w:cs="Arial"/>
                <w:sz w:val="24"/>
                <w:szCs w:val="24"/>
              </w:rPr>
              <w:t>Tamanho Nº 18 = 12 Pares</w:t>
            </w:r>
          </w:p>
          <w:p w14:paraId="5412CF59">
            <w:pPr>
              <w:spacing w:after="60"/>
              <w:jc w:val="center"/>
              <w:textAlignment w:val="baseline"/>
              <w:rPr>
                <w:rFonts w:ascii="Arial" w:hAnsi="Arial" w:cs="Arial"/>
                <w:sz w:val="24"/>
                <w:szCs w:val="24"/>
              </w:rPr>
            </w:pPr>
            <w:r>
              <w:rPr>
                <w:rFonts w:ascii="Arial" w:hAnsi="Arial" w:cs="Arial"/>
                <w:sz w:val="24"/>
                <w:szCs w:val="24"/>
              </w:rPr>
              <w:t>Tamanho Nº 19 = 15 Pares</w:t>
            </w:r>
          </w:p>
          <w:p w14:paraId="70A967F7">
            <w:pPr>
              <w:spacing w:after="60"/>
              <w:jc w:val="center"/>
              <w:textAlignment w:val="baseline"/>
              <w:rPr>
                <w:rFonts w:ascii="Arial" w:hAnsi="Arial" w:cs="Arial"/>
                <w:sz w:val="24"/>
                <w:szCs w:val="24"/>
              </w:rPr>
            </w:pPr>
            <w:r>
              <w:rPr>
                <w:rFonts w:ascii="Arial" w:hAnsi="Arial" w:cs="Arial"/>
                <w:sz w:val="24"/>
                <w:szCs w:val="24"/>
              </w:rPr>
              <w:t>Tamanho Nº 20 = 13 Pares</w:t>
            </w:r>
          </w:p>
          <w:p w14:paraId="2E065861">
            <w:pPr>
              <w:spacing w:after="60"/>
              <w:jc w:val="center"/>
              <w:textAlignment w:val="baseline"/>
              <w:rPr>
                <w:rFonts w:ascii="Arial" w:hAnsi="Arial" w:cs="Arial"/>
                <w:sz w:val="24"/>
                <w:szCs w:val="24"/>
              </w:rPr>
            </w:pPr>
            <w:r>
              <w:rPr>
                <w:rFonts w:ascii="Arial" w:hAnsi="Arial" w:cs="Arial"/>
                <w:sz w:val="24"/>
                <w:szCs w:val="24"/>
              </w:rPr>
              <w:t>Tamanho Nº 21 = 13 Pares</w:t>
            </w:r>
          </w:p>
          <w:p w14:paraId="44795F93">
            <w:pPr>
              <w:spacing w:after="60"/>
              <w:jc w:val="center"/>
              <w:textAlignment w:val="baseline"/>
              <w:rPr>
                <w:rFonts w:ascii="Arial" w:hAnsi="Arial" w:cs="Arial"/>
                <w:sz w:val="24"/>
                <w:szCs w:val="24"/>
              </w:rPr>
            </w:pPr>
            <w:r>
              <w:rPr>
                <w:rFonts w:ascii="Arial" w:hAnsi="Arial" w:cs="Arial"/>
                <w:sz w:val="24"/>
                <w:szCs w:val="24"/>
              </w:rPr>
              <w:t>Tamanho Nº 22 = 15 Pares</w:t>
            </w:r>
          </w:p>
          <w:p w14:paraId="7F54582D">
            <w:pPr>
              <w:spacing w:after="60"/>
              <w:jc w:val="center"/>
              <w:textAlignment w:val="baseline"/>
              <w:rPr>
                <w:rFonts w:ascii="Arial" w:hAnsi="Arial" w:cs="Arial"/>
                <w:sz w:val="24"/>
                <w:szCs w:val="24"/>
              </w:rPr>
            </w:pPr>
            <w:r>
              <w:rPr>
                <w:rFonts w:ascii="Arial" w:hAnsi="Arial" w:cs="Arial"/>
                <w:sz w:val="24"/>
                <w:szCs w:val="24"/>
              </w:rPr>
              <w:t>Tamanho Nº 23 = 22 Pares</w:t>
            </w:r>
          </w:p>
          <w:p w14:paraId="61C7A504">
            <w:pPr>
              <w:spacing w:after="60"/>
              <w:jc w:val="center"/>
              <w:textAlignment w:val="baseline"/>
              <w:rPr>
                <w:rFonts w:ascii="Arial" w:hAnsi="Arial" w:cs="Arial"/>
                <w:sz w:val="24"/>
                <w:szCs w:val="24"/>
              </w:rPr>
            </w:pPr>
            <w:r>
              <w:rPr>
                <w:rFonts w:ascii="Arial" w:hAnsi="Arial" w:cs="Arial"/>
                <w:sz w:val="24"/>
                <w:szCs w:val="24"/>
              </w:rPr>
              <w:t>Tamanho Nº 24 = 16 Pares</w:t>
            </w:r>
          </w:p>
          <w:p w14:paraId="43126F3B">
            <w:pPr>
              <w:spacing w:after="60"/>
              <w:jc w:val="center"/>
              <w:textAlignment w:val="baseline"/>
              <w:rPr>
                <w:rFonts w:ascii="Arial" w:hAnsi="Arial" w:cs="Arial"/>
                <w:sz w:val="24"/>
                <w:szCs w:val="24"/>
              </w:rPr>
            </w:pPr>
            <w:r>
              <w:rPr>
                <w:rFonts w:ascii="Arial" w:hAnsi="Arial" w:cs="Arial"/>
                <w:sz w:val="24"/>
                <w:szCs w:val="24"/>
              </w:rPr>
              <w:t>Tamanho Nº 25 = 28 Pares</w:t>
            </w:r>
          </w:p>
        </w:tc>
        <w:tc>
          <w:tcPr>
            <w:tcW w:w="1474" w:type="dxa"/>
            <w:tcBorders>
              <w:top w:val="single" w:color="auto" w:sz="12" w:space="0"/>
              <w:left w:val="single" w:color="auto" w:sz="12" w:space="0"/>
              <w:bottom w:val="single" w:color="auto" w:sz="12" w:space="0"/>
              <w:right w:val="single" w:color="auto" w:sz="12" w:space="0"/>
            </w:tcBorders>
            <w:vAlign w:val="center"/>
          </w:tcPr>
          <w:p w14:paraId="3542100A">
            <w:pPr>
              <w:jc w:val="center"/>
              <w:textAlignment w:val="baseline"/>
              <w:rPr>
                <w:rFonts w:ascii="Arial" w:hAnsi="Arial" w:cs="Arial"/>
                <w:sz w:val="24"/>
                <w:szCs w:val="24"/>
              </w:rPr>
            </w:pPr>
            <w:r>
              <w:rPr>
                <w:rFonts w:ascii="Arial" w:hAnsi="Arial" w:cs="Arial"/>
                <w:sz w:val="24"/>
                <w:szCs w:val="24"/>
              </w:rPr>
              <w:t>134 Pares</w:t>
            </w:r>
          </w:p>
        </w:tc>
      </w:tr>
    </w:tbl>
    <w:p w14:paraId="6E0BAE8C">
      <w:pPr>
        <w:spacing w:line="360" w:lineRule="auto"/>
        <w:jc w:val="both"/>
        <w:rPr>
          <w:rFonts w:ascii="Arial" w:hAnsi="Arial" w:cs="Arial" w:eastAsiaTheme="majorEastAsia"/>
          <w:bCs/>
          <w:kern w:val="2"/>
          <w:sz w:val="24"/>
          <w:szCs w:val="24"/>
          <w:lang w:eastAsia="en-US"/>
          <w14:ligatures w14:val="standardContextual"/>
        </w:rPr>
      </w:pPr>
    </w:p>
    <w:p w14:paraId="540CE87E">
      <w:pPr>
        <w:spacing w:line="360" w:lineRule="auto"/>
        <w:jc w:val="center"/>
        <w:rPr>
          <w:rFonts w:ascii="Arial" w:hAnsi="Arial" w:cs="Arial" w:eastAsiaTheme="majorEastAsia"/>
          <w:bCs/>
          <w:kern w:val="2"/>
          <w:sz w:val="24"/>
          <w:szCs w:val="24"/>
          <w:lang w:eastAsia="en-US"/>
          <w14:ligatures w14:val="standardContextual"/>
        </w:rPr>
      </w:pPr>
      <w:r>
        <w:rPr>
          <w:rFonts w:ascii="Calibri Light" w:hAnsi="Calibri Light" w:cs="Calibri Light"/>
          <w:sz w:val="24"/>
          <w:szCs w:val="24"/>
          <w:lang w:eastAsia="pt-BR"/>
        </w:rPr>
        <w:drawing>
          <wp:inline distT="0" distB="0" distL="0" distR="0">
            <wp:extent cx="3131185" cy="1884045"/>
            <wp:effectExtent l="0" t="0" r="8255"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7" cstate="print">
                      <a:extLst>
                        <a:ext uri="{BEBA8EAE-BF5A-486C-A8C5-ECC9F3942E4B}">
                          <a14:imgProps xmlns:a14="http://schemas.microsoft.com/office/drawing/2010/main">
                            <a14:imgLayer r:embed="rId8">
                              <a14:imgEffect>
                                <a14:artisticGlowDiffused/>
                              </a14:imgEffect>
                            </a14:imgLayer>
                          </a14:imgProps>
                        </a:ext>
                        <a:ext uri="{28A0092B-C50C-407E-A947-70E740481C1C}">
                          <a14:useLocalDpi xmlns:a14="http://schemas.microsoft.com/office/drawing/2010/main" val="0"/>
                        </a:ext>
                      </a:extLst>
                    </a:blip>
                    <a:stretch>
                      <a:fillRect/>
                    </a:stretch>
                  </pic:blipFill>
                  <pic:spPr>
                    <a:xfrm>
                      <a:off x="0" y="0"/>
                      <a:ext cx="3147868" cy="1894495"/>
                    </a:xfrm>
                    <a:prstGeom prst="rect">
                      <a:avLst/>
                    </a:prstGeom>
                  </pic:spPr>
                </pic:pic>
              </a:graphicData>
            </a:graphic>
          </wp:inline>
        </w:drawing>
      </w:r>
    </w:p>
    <w:p w14:paraId="0D21C00B">
      <w:pPr>
        <w:spacing w:line="360" w:lineRule="auto"/>
        <w:jc w:val="both"/>
        <w:rPr>
          <w:rFonts w:ascii="Arial" w:hAnsi="Arial" w:cs="Arial"/>
          <w:sz w:val="20"/>
          <w:szCs w:val="20"/>
          <w:lang w:eastAsia="pt-BR"/>
        </w:rPr>
      </w:pPr>
      <w:r>
        <w:rPr>
          <w:rFonts w:ascii="Arial" w:hAnsi="Arial" w:cs="Arial"/>
          <w:b/>
          <w:sz w:val="20"/>
          <w:szCs w:val="20"/>
          <w:lang w:eastAsia="pt-BR"/>
        </w:rPr>
        <w:t>DESCRIÇÃO:</w:t>
      </w:r>
      <w:r>
        <w:rPr>
          <w:rFonts w:ascii="Arial" w:hAnsi="Arial" w:cs="Arial"/>
          <w:sz w:val="20"/>
          <w:szCs w:val="20"/>
          <w:lang w:eastAsia="pt-BR"/>
        </w:rPr>
        <w:t xml:space="preserve"> Tênis para uso escolar grade  18 ao 25 fechamento em Cadarço, apropriado para caminhadas, corridas leves, prática de esportes difusos moderados, uso diário, leve, versátil, resistente, duradouro, confortável, produzido e confeccionado a partir de duas partes distintas (CABEDAL e SOLADO) nas quais são unidas pelo processo de adesivos a base de água, trazendo benefícios ao meio ambiente no qual não receberá dejetos químicos dos adesivos.</w:t>
      </w:r>
    </w:p>
    <w:p w14:paraId="3071D284">
      <w:pPr>
        <w:pStyle w:val="2"/>
        <w:spacing w:before="165"/>
        <w:ind w:left="0" w:right="1330"/>
        <w:jc w:val="center"/>
        <w:rPr>
          <w:w w:val="110"/>
          <w:sz w:val="22"/>
          <w:szCs w:val="22"/>
        </w:rPr>
      </w:pPr>
    </w:p>
    <w:p w14:paraId="58D8B4D1">
      <w:pPr>
        <w:pStyle w:val="2"/>
        <w:spacing w:before="165"/>
        <w:ind w:left="0" w:right="1330"/>
        <w:jc w:val="both"/>
        <w:rPr>
          <w:w w:val="110"/>
          <w:sz w:val="22"/>
          <w:szCs w:val="22"/>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3"/>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3"/>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3"/>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3"/>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3"/>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3"/>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3"/>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3"/>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3"/>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3"/>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3"/>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3"/>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3"/>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3"/>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3"/>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3"/>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3"/>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3"/>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3"/>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3"/>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2"/>
        </w:numPr>
        <w:tabs>
          <w:tab w:val="left" w:pos="524"/>
        </w:tabs>
        <w:spacing w:before="47"/>
        <w:ind w:left="239" w:leftChars="0" w:hanging="239" w:firstLine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9D6E1FC">
      <w:pPr>
        <w:spacing w:before="163"/>
        <w:ind w:left="1289" w:right="2062"/>
        <w:jc w:val="center"/>
        <w:rPr>
          <w:rFonts w:ascii="Times New Roman" w:hAnsi="Times New Roman" w:cs="Times New Roman"/>
          <w:b/>
          <w:spacing w:val="11"/>
          <w:w w:val="115"/>
        </w:rPr>
      </w:pPr>
    </w:p>
    <w:p w14:paraId="63A84AB9">
      <w:pPr>
        <w:spacing w:before="163"/>
        <w:ind w:left="1289" w:right="2062"/>
        <w:jc w:val="center"/>
        <w:rPr>
          <w:rFonts w:ascii="Times New Roman" w:hAnsi="Times New Roman" w:cs="Times New Roman"/>
          <w:b/>
          <w:spacing w:val="11"/>
          <w:w w:val="115"/>
        </w:rPr>
      </w:pPr>
    </w:p>
    <w:p w14:paraId="4A4794AA">
      <w:pPr>
        <w:spacing w:before="163"/>
        <w:ind w:left="1289" w:right="2062"/>
        <w:jc w:val="center"/>
        <w:rPr>
          <w:rFonts w:ascii="Times New Roman" w:hAnsi="Times New Roman" w:cs="Times New Roman"/>
          <w:b/>
          <w:spacing w:val="11"/>
          <w:w w:val="115"/>
        </w:rPr>
      </w:pPr>
    </w:p>
    <w:p w14:paraId="371F2875">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1619FB8">
      <w:pPr>
        <w:spacing w:before="163"/>
        <w:ind w:left="1289" w:right="2062"/>
        <w:jc w:val="center"/>
        <w:rPr>
          <w:rFonts w:ascii="Times New Roman" w:hAnsi="Times New Roman" w:cs="Times New Roman"/>
          <w:b/>
          <w:spacing w:val="11"/>
          <w:w w:val="115"/>
        </w:rPr>
      </w:pPr>
    </w:p>
    <w:p w14:paraId="29393C1F">
      <w:pPr>
        <w:spacing w:before="163"/>
        <w:ind w:left="1289" w:right="2062"/>
        <w:jc w:val="center"/>
        <w:rPr>
          <w:rFonts w:ascii="Times New Roman" w:hAnsi="Times New Roman" w:cs="Times New Roman"/>
          <w:b/>
          <w:spacing w:val="11"/>
          <w:w w:val="115"/>
        </w:rPr>
      </w:pPr>
    </w:p>
    <w:p w14:paraId="13C448C8">
      <w:pPr>
        <w:spacing w:before="163"/>
        <w:ind w:left="1289" w:right="2062"/>
        <w:jc w:val="center"/>
        <w:rPr>
          <w:rFonts w:ascii="Times New Roman" w:hAnsi="Times New Roman" w:cs="Times New Roman"/>
          <w:b/>
          <w:spacing w:val="11"/>
          <w:w w:val="115"/>
        </w:rPr>
      </w:pPr>
    </w:p>
    <w:p w14:paraId="6C28DA20">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7BBAE465">
      <w:pPr>
        <w:spacing w:after="120"/>
        <w:jc w:val="center"/>
        <w:rPr>
          <w:rFonts w:ascii="Arial" w:hAnsi="Arial" w:cs="Arial"/>
          <w:b/>
          <w:bCs/>
          <w:sz w:val="24"/>
          <w:szCs w:val="24"/>
        </w:rPr>
      </w:pPr>
      <w:r>
        <w:rPr>
          <w:rFonts w:ascii="Arial" w:hAnsi="Arial" w:cs="Arial"/>
          <w:b/>
          <w:bCs/>
          <w:sz w:val="24"/>
          <w:szCs w:val="24"/>
        </w:rPr>
        <w:t>TÊNIS</w:t>
      </w:r>
    </w:p>
    <w:p w14:paraId="5FEA8B5E">
      <w:pPr>
        <w:jc w:val="center"/>
        <w:rPr>
          <w:rFonts w:ascii="Arial" w:hAnsi="Arial" w:cs="Arial"/>
          <w:b/>
          <w:bCs/>
          <w:sz w:val="24"/>
          <w:szCs w:val="24"/>
        </w:rPr>
      </w:pPr>
      <w:r>
        <w:rPr>
          <w:rFonts w:ascii="Arial" w:hAnsi="Arial" w:cs="Arial"/>
          <w:b/>
          <w:bCs/>
          <w:sz w:val="24"/>
          <w:szCs w:val="24"/>
        </w:rPr>
        <w:t>TERMO DE REFERÊNCIA (TR)</w:t>
      </w:r>
    </w:p>
    <w:p w14:paraId="4B28D355">
      <w:pPr>
        <w:jc w:val="both"/>
        <w:rPr>
          <w:rFonts w:ascii="Arial" w:hAnsi="Arial" w:eastAsia="Calibri" w:cs="Arial"/>
          <w:b/>
          <w:bCs/>
          <w:sz w:val="24"/>
          <w:szCs w:val="24"/>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2"/>
        <w:gridCol w:w="4677"/>
      </w:tblGrid>
      <w:tr w14:paraId="36E4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62" w:type="dxa"/>
            <w:tcBorders>
              <w:top w:val="single" w:color="auto" w:sz="4" w:space="0"/>
              <w:left w:val="single" w:color="auto" w:sz="4" w:space="0"/>
              <w:bottom w:val="single" w:color="auto" w:sz="4" w:space="0"/>
              <w:right w:val="single" w:color="auto" w:sz="4" w:space="0"/>
            </w:tcBorders>
            <w:shd w:val="clear" w:color="auto" w:fill="D9D9D9"/>
            <w:vAlign w:val="center"/>
          </w:tcPr>
          <w:p w14:paraId="3E436A32">
            <w:pPr>
              <w:jc w:val="center"/>
              <w:rPr>
                <w:rFonts w:ascii="Arial" w:hAnsi="Arial" w:cs="Arial"/>
                <w:b/>
                <w:sz w:val="24"/>
                <w:szCs w:val="24"/>
                <w:lang w:val="pt-PT"/>
              </w:rPr>
            </w:pPr>
            <w:r>
              <w:rPr>
                <w:rFonts w:ascii="Arial" w:hAnsi="Arial" w:cs="Arial"/>
                <w:b/>
                <w:sz w:val="24"/>
                <w:szCs w:val="24"/>
              </w:rPr>
              <w:t>ÁREA REQUISITANTE DA DEMANDA</w:t>
            </w:r>
          </w:p>
        </w:tc>
        <w:tc>
          <w:tcPr>
            <w:tcW w:w="4677" w:type="dxa"/>
            <w:tcBorders>
              <w:top w:val="single" w:color="auto" w:sz="4" w:space="0"/>
              <w:left w:val="single" w:color="auto" w:sz="4" w:space="0"/>
              <w:bottom w:val="single" w:color="auto" w:sz="4" w:space="0"/>
              <w:right w:val="single" w:color="auto" w:sz="4" w:space="0"/>
            </w:tcBorders>
            <w:shd w:val="clear" w:color="auto" w:fill="D9D9D9"/>
          </w:tcPr>
          <w:p w14:paraId="3B4DE8B1">
            <w:pPr>
              <w:pStyle w:val="10"/>
              <w:rPr>
                <w:rFonts w:ascii="Arial" w:hAnsi="Arial" w:cs="Arial"/>
                <w:b/>
                <w:sz w:val="24"/>
                <w:szCs w:val="24"/>
                <w:highlight w:val="lightGray"/>
              </w:rPr>
            </w:pPr>
          </w:p>
        </w:tc>
      </w:tr>
      <w:tr w14:paraId="495E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62" w:type="dxa"/>
            <w:tcBorders>
              <w:top w:val="single" w:color="auto" w:sz="4" w:space="0"/>
              <w:left w:val="single" w:color="auto" w:sz="4" w:space="0"/>
              <w:bottom w:val="single" w:color="auto" w:sz="4" w:space="0"/>
              <w:right w:val="single" w:color="auto" w:sz="4" w:space="0"/>
            </w:tcBorders>
            <w:shd w:val="clear" w:color="auto" w:fill="D9D9D9"/>
          </w:tcPr>
          <w:p w14:paraId="798F873A">
            <w:pPr>
              <w:pStyle w:val="10"/>
              <w:rPr>
                <w:rFonts w:ascii="Arial" w:hAnsi="Arial" w:cs="Arial"/>
                <w:b/>
                <w:sz w:val="24"/>
                <w:szCs w:val="24"/>
              </w:rPr>
            </w:pPr>
            <w:r>
              <w:rPr>
                <w:rFonts w:ascii="Arial" w:hAnsi="Arial" w:cs="Arial"/>
                <w:b/>
                <w:sz w:val="24"/>
                <w:szCs w:val="24"/>
              </w:rPr>
              <w:t>1.1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1243AD5D">
            <w:pPr>
              <w:pStyle w:val="10"/>
              <w:rPr>
                <w:rFonts w:ascii="Arial" w:hAnsi="Arial" w:cs="Arial"/>
                <w:b/>
                <w:sz w:val="24"/>
                <w:szCs w:val="24"/>
              </w:rPr>
            </w:pPr>
            <w:r>
              <w:rPr>
                <w:rFonts w:ascii="Arial" w:hAnsi="Arial" w:cs="Arial"/>
                <w:b/>
                <w:sz w:val="24"/>
                <w:szCs w:val="24"/>
              </w:rPr>
              <w:t>Governo</w:t>
            </w:r>
          </w:p>
        </w:tc>
      </w:tr>
      <w:tr w14:paraId="5F19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62" w:type="dxa"/>
            <w:tcBorders>
              <w:top w:val="single" w:color="auto" w:sz="4" w:space="0"/>
              <w:left w:val="single" w:color="auto" w:sz="4" w:space="0"/>
              <w:bottom w:val="single" w:color="auto" w:sz="4" w:space="0"/>
              <w:right w:val="single" w:color="auto" w:sz="4" w:space="0"/>
            </w:tcBorders>
            <w:shd w:val="clear" w:color="auto" w:fill="D9D9D9"/>
          </w:tcPr>
          <w:p w14:paraId="4C80BD98">
            <w:pPr>
              <w:pStyle w:val="10"/>
              <w:rPr>
                <w:rFonts w:ascii="Arial" w:hAnsi="Arial" w:cs="Arial"/>
                <w:bCs/>
                <w:sz w:val="24"/>
                <w:szCs w:val="24"/>
              </w:rPr>
            </w:pPr>
            <w:r>
              <w:rPr>
                <w:rFonts w:ascii="Arial" w:hAnsi="Arial" w:cs="Arial"/>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01F6409F">
            <w:pPr>
              <w:pStyle w:val="10"/>
              <w:rPr>
                <w:rFonts w:ascii="Arial" w:hAnsi="Arial" w:cs="Arial"/>
                <w:bCs/>
                <w:sz w:val="24"/>
                <w:szCs w:val="24"/>
              </w:rPr>
            </w:pPr>
            <w:r>
              <w:rPr>
                <w:rFonts w:ascii="Arial" w:hAnsi="Arial" w:cs="Arial"/>
                <w:bCs/>
                <w:sz w:val="24"/>
                <w:szCs w:val="24"/>
              </w:rPr>
              <w:t>Sérgio Silvério dos Reis</w:t>
            </w:r>
          </w:p>
        </w:tc>
      </w:tr>
      <w:tr w14:paraId="43DB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62" w:type="dxa"/>
            <w:tcBorders>
              <w:top w:val="single" w:color="auto" w:sz="4" w:space="0"/>
              <w:left w:val="single" w:color="auto" w:sz="4" w:space="0"/>
              <w:bottom w:val="single" w:color="auto" w:sz="4" w:space="0"/>
              <w:right w:val="single" w:color="auto" w:sz="4" w:space="0"/>
            </w:tcBorders>
            <w:shd w:val="clear" w:color="auto" w:fill="D9D9D9"/>
          </w:tcPr>
          <w:p w14:paraId="7A6AA76D">
            <w:pPr>
              <w:pStyle w:val="10"/>
              <w:rPr>
                <w:rFonts w:ascii="Arial" w:hAnsi="Arial" w:cs="Arial"/>
                <w:bCs/>
                <w:sz w:val="24"/>
                <w:szCs w:val="24"/>
              </w:rPr>
            </w:pPr>
            <w:r>
              <w:rPr>
                <w:rFonts w:ascii="Arial" w:hAnsi="Arial" w:cs="Arial"/>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68A60358">
            <w:pPr>
              <w:pStyle w:val="10"/>
              <w:rPr>
                <w:rFonts w:ascii="Arial" w:hAnsi="Arial" w:cs="Arial"/>
                <w:bCs/>
                <w:sz w:val="24"/>
                <w:szCs w:val="24"/>
              </w:rPr>
            </w:pPr>
            <w:r>
              <w:rPr>
                <w:rFonts w:ascii="Arial" w:hAnsi="Arial" w:cs="Arial"/>
                <w:bCs/>
                <w:sz w:val="24"/>
                <w:szCs w:val="24"/>
              </w:rPr>
              <w:t>Secretário Municipal de Governo</w:t>
            </w:r>
          </w:p>
        </w:tc>
      </w:tr>
      <w:tr w14:paraId="76F6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62" w:type="dxa"/>
            <w:tcBorders>
              <w:top w:val="single" w:color="auto" w:sz="4" w:space="0"/>
              <w:left w:val="single" w:color="auto" w:sz="4" w:space="0"/>
              <w:bottom w:val="single" w:color="auto" w:sz="4" w:space="0"/>
              <w:right w:val="single" w:color="auto" w:sz="4" w:space="0"/>
            </w:tcBorders>
            <w:shd w:val="clear" w:color="auto" w:fill="D9D9D9"/>
          </w:tcPr>
          <w:p w14:paraId="4E1276FC">
            <w:pPr>
              <w:pStyle w:val="10"/>
              <w:rPr>
                <w:rFonts w:ascii="Arial" w:hAnsi="Arial" w:cs="Arial"/>
                <w:b/>
                <w:sz w:val="24"/>
                <w:szCs w:val="24"/>
              </w:rPr>
            </w:pPr>
            <w:r>
              <w:rPr>
                <w:rFonts w:ascii="Arial" w:hAnsi="Arial" w:cs="Arial"/>
                <w:b/>
                <w:sz w:val="24"/>
                <w:szCs w:val="24"/>
              </w:rPr>
              <w:t>1.2 Área Requisitante</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356B7864">
            <w:pPr>
              <w:pStyle w:val="10"/>
              <w:rPr>
                <w:rFonts w:ascii="Arial" w:hAnsi="Arial" w:cs="Arial"/>
                <w:b/>
                <w:sz w:val="24"/>
                <w:szCs w:val="24"/>
              </w:rPr>
            </w:pPr>
            <w:r>
              <w:rPr>
                <w:rFonts w:ascii="Arial" w:hAnsi="Arial" w:cs="Arial"/>
                <w:b/>
                <w:sz w:val="24"/>
                <w:szCs w:val="24"/>
              </w:rPr>
              <w:t>Educação</w:t>
            </w:r>
          </w:p>
        </w:tc>
      </w:tr>
      <w:tr w14:paraId="587A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62" w:type="dxa"/>
            <w:tcBorders>
              <w:top w:val="single" w:color="auto" w:sz="4" w:space="0"/>
              <w:left w:val="single" w:color="auto" w:sz="4" w:space="0"/>
              <w:bottom w:val="single" w:color="auto" w:sz="4" w:space="0"/>
              <w:right w:val="single" w:color="auto" w:sz="4" w:space="0"/>
            </w:tcBorders>
            <w:shd w:val="clear" w:color="auto" w:fill="D9D9D9"/>
          </w:tcPr>
          <w:p w14:paraId="642CF8FA">
            <w:pPr>
              <w:pStyle w:val="10"/>
              <w:rPr>
                <w:rFonts w:ascii="Arial" w:hAnsi="Arial" w:cs="Arial"/>
                <w:bCs/>
                <w:sz w:val="24"/>
                <w:szCs w:val="24"/>
              </w:rPr>
            </w:pPr>
            <w:r>
              <w:rPr>
                <w:rFonts w:ascii="Arial" w:hAnsi="Arial" w:cs="Arial"/>
                <w:bCs/>
                <w:sz w:val="24"/>
                <w:szCs w:val="24"/>
              </w:rPr>
              <w:t>Responsável pela demanda</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2C587480">
            <w:pPr>
              <w:pStyle w:val="10"/>
              <w:rPr>
                <w:rFonts w:ascii="Arial" w:hAnsi="Arial" w:cs="Arial"/>
                <w:bCs/>
                <w:sz w:val="24"/>
                <w:szCs w:val="24"/>
              </w:rPr>
            </w:pPr>
            <w:r>
              <w:rPr>
                <w:rFonts w:ascii="Arial" w:hAnsi="Arial" w:cs="Arial"/>
                <w:bCs/>
                <w:sz w:val="24"/>
                <w:szCs w:val="24"/>
              </w:rPr>
              <w:t>Lilian Mateus Floriano Comodaro</w:t>
            </w:r>
          </w:p>
        </w:tc>
      </w:tr>
      <w:tr w14:paraId="3F82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62" w:type="dxa"/>
            <w:tcBorders>
              <w:top w:val="single" w:color="auto" w:sz="4" w:space="0"/>
              <w:left w:val="single" w:color="auto" w:sz="4" w:space="0"/>
              <w:bottom w:val="single" w:color="auto" w:sz="4" w:space="0"/>
              <w:right w:val="single" w:color="auto" w:sz="4" w:space="0"/>
            </w:tcBorders>
            <w:shd w:val="clear" w:color="auto" w:fill="D9D9D9"/>
          </w:tcPr>
          <w:p w14:paraId="5F0FD94A">
            <w:pPr>
              <w:pStyle w:val="10"/>
              <w:rPr>
                <w:rFonts w:ascii="Arial" w:hAnsi="Arial" w:cs="Arial"/>
                <w:bCs/>
                <w:sz w:val="24"/>
                <w:szCs w:val="24"/>
              </w:rPr>
            </w:pPr>
            <w:r>
              <w:rPr>
                <w:rFonts w:ascii="Arial" w:hAnsi="Arial" w:cs="Arial"/>
                <w:bCs/>
                <w:sz w:val="24"/>
                <w:szCs w:val="24"/>
              </w:rPr>
              <w:t>Cargo</w:t>
            </w:r>
          </w:p>
        </w:tc>
        <w:tc>
          <w:tcPr>
            <w:tcW w:w="4677" w:type="dxa"/>
            <w:tcBorders>
              <w:top w:val="single" w:color="auto" w:sz="4" w:space="0"/>
              <w:left w:val="single" w:color="auto" w:sz="4" w:space="0"/>
              <w:bottom w:val="single" w:color="auto" w:sz="4" w:space="0"/>
              <w:right w:val="single" w:color="auto" w:sz="4" w:space="0"/>
            </w:tcBorders>
            <w:shd w:val="clear" w:color="auto" w:fill="auto"/>
          </w:tcPr>
          <w:p w14:paraId="7E0FCEEF">
            <w:pPr>
              <w:pStyle w:val="10"/>
              <w:rPr>
                <w:rFonts w:ascii="Arial" w:hAnsi="Arial" w:cs="Arial"/>
                <w:bCs/>
                <w:sz w:val="24"/>
                <w:szCs w:val="24"/>
              </w:rPr>
            </w:pPr>
            <w:r>
              <w:rPr>
                <w:rFonts w:ascii="Arial" w:hAnsi="Arial" w:cs="Arial"/>
                <w:bCs/>
                <w:sz w:val="24"/>
                <w:szCs w:val="24"/>
              </w:rPr>
              <w:t>Secretária Municipal de Educação</w:t>
            </w:r>
          </w:p>
        </w:tc>
      </w:tr>
    </w:tbl>
    <w:p w14:paraId="25500675">
      <w:pPr>
        <w:spacing w:line="360" w:lineRule="auto"/>
        <w:jc w:val="both"/>
        <w:rPr>
          <w:rFonts w:ascii="Arial" w:hAnsi="Arial" w:eastAsia="Arial-BoldMT" w:cs="Arial"/>
          <w:b/>
          <w:bCs/>
          <w:sz w:val="24"/>
          <w:szCs w:val="24"/>
        </w:rPr>
      </w:pPr>
    </w:p>
    <w:p w14:paraId="1DAF6E81">
      <w:pPr>
        <w:spacing w:line="360" w:lineRule="auto"/>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5D9BF428">
      <w:pPr>
        <w:spacing w:line="360" w:lineRule="auto"/>
        <w:jc w:val="both"/>
        <w:rPr>
          <w:rFonts w:ascii="Arial" w:hAnsi="Arial" w:eastAsia="Arial-BoldMT" w:cs="Arial"/>
          <w:b/>
          <w:bCs/>
          <w:sz w:val="24"/>
          <w:szCs w:val="24"/>
          <w:highlight w:val="yellow"/>
        </w:rPr>
      </w:pPr>
    </w:p>
    <w:p w14:paraId="7DBA8B15">
      <w:pPr>
        <w:spacing w:line="360" w:lineRule="auto"/>
        <w:jc w:val="both"/>
        <w:rPr>
          <w:rFonts w:ascii="Arial" w:hAnsi="Arial" w:cs="Arial"/>
          <w:sz w:val="24"/>
          <w:szCs w:val="24"/>
          <w:lang w:eastAsia="pt-BR"/>
        </w:rPr>
      </w:pPr>
      <w:r>
        <w:rPr>
          <w:rFonts w:ascii="Arial" w:hAnsi="Arial" w:cs="Arial"/>
          <w:sz w:val="24"/>
          <w:szCs w:val="24"/>
        </w:rPr>
        <w:t xml:space="preserve">O objeto do presente termo de referência é a abertura de licitação Dispensa Eletrônica, com amparo no art. 75, inciso II, nos termos da Lei nº 14.133, de 1º de abril de 2021, Decreto Municipal nº 1.441/2024 e demais legislação aplicável para </w:t>
      </w:r>
      <w:r>
        <w:rPr>
          <w:rFonts w:ascii="Arial" w:hAnsi="Arial" w:cs="Arial"/>
          <w:sz w:val="24"/>
          <w:szCs w:val="24"/>
          <w:lang w:eastAsia="pt-BR"/>
        </w:rPr>
        <w:t xml:space="preserve">a </w:t>
      </w:r>
      <w:r>
        <w:rPr>
          <w:rFonts w:ascii="Arial" w:hAnsi="Arial" w:cs="Arial"/>
          <w:bCs/>
          <w:sz w:val="24"/>
          <w:szCs w:val="24"/>
          <w:lang w:eastAsia="pt-BR"/>
        </w:rPr>
        <w:t>aquisição de tênis para composição do uniforme escolar dos alunos da Rede Municipal de Ensino</w:t>
      </w:r>
      <w:r>
        <w:rPr>
          <w:rFonts w:ascii="Arial" w:hAnsi="Arial" w:cs="Arial"/>
          <w:sz w:val="24"/>
          <w:szCs w:val="24"/>
          <w:lang w:eastAsia="pt-BR"/>
        </w:rPr>
        <w:t xml:space="preserve">, com vistas a garantir melhores condições de acesso, permanência e rendimento escolar, além de promover a igualdade entre os estudantes. </w:t>
      </w:r>
    </w:p>
    <w:p w14:paraId="31BE2991">
      <w:pPr>
        <w:spacing w:line="360" w:lineRule="auto"/>
        <w:jc w:val="both"/>
        <w:rPr>
          <w:rFonts w:ascii="Arial" w:hAnsi="Arial" w:cs="Arial"/>
          <w:sz w:val="24"/>
          <w:szCs w:val="24"/>
          <w:lang w:eastAsia="pt-BR"/>
        </w:rPr>
      </w:pPr>
      <w:r>
        <w:rPr>
          <w:rFonts w:ascii="Arial" w:hAnsi="Arial" w:cs="Arial"/>
          <w:sz w:val="24"/>
          <w:szCs w:val="24"/>
          <w:lang w:eastAsia="pt-BR"/>
        </w:rPr>
        <w:t xml:space="preserve">O fornecimento completo do uniforme, incluindo calçados adequados, é fundamental para assegurar o conforto, a segurança e a dignidade dos alunos, especialmente durante a prática de atividades escolares e esportivas. </w:t>
      </w:r>
    </w:p>
    <w:p w14:paraId="4BD8EC1B">
      <w:pPr>
        <w:spacing w:line="360" w:lineRule="auto"/>
        <w:jc w:val="both"/>
        <w:rPr>
          <w:rFonts w:ascii="Arial" w:hAnsi="Arial" w:cs="Arial"/>
          <w:sz w:val="24"/>
          <w:szCs w:val="24"/>
          <w:lang w:eastAsia="pt-BR"/>
        </w:rPr>
      </w:pPr>
      <w:r>
        <w:rPr>
          <w:rFonts w:ascii="Arial" w:hAnsi="Arial" w:cs="Arial"/>
          <w:sz w:val="24"/>
          <w:szCs w:val="24"/>
          <w:lang w:eastAsia="pt-BR"/>
        </w:rPr>
        <w:t xml:space="preserve">Ressalta-se que </w:t>
      </w:r>
      <w:r>
        <w:rPr>
          <w:rFonts w:ascii="Arial" w:hAnsi="Arial" w:cs="Arial"/>
          <w:bCs/>
          <w:sz w:val="24"/>
          <w:szCs w:val="24"/>
          <w:lang w:eastAsia="pt-BR"/>
        </w:rPr>
        <w:t>houve a identificação de uma demanda adicional de tamanhos e quantitativos de tênis que não foram contemplados no processo licitatório anterior</w:t>
      </w:r>
      <w:r>
        <w:rPr>
          <w:rFonts w:ascii="Arial" w:hAnsi="Arial" w:cs="Arial"/>
          <w:sz w:val="24"/>
          <w:szCs w:val="24"/>
          <w:lang w:eastAsia="pt-BR"/>
        </w:rPr>
        <w:t>, seja por variações no perfil dos alunos, seja pelo ingresso de novos estudantes na rede municipal. Tais mudanças tornaram necessária a complementação do fornecimento, de modo a atender integralmente todos os alunos matriculados.</w:t>
      </w:r>
    </w:p>
    <w:p w14:paraId="5C0C7234">
      <w:pPr>
        <w:spacing w:line="360" w:lineRule="auto"/>
        <w:jc w:val="both"/>
        <w:rPr>
          <w:rFonts w:ascii="Arial" w:hAnsi="Arial" w:cs="Arial" w:eastAsiaTheme="majorEastAsia"/>
          <w:bCs/>
          <w:kern w:val="2"/>
          <w:sz w:val="24"/>
          <w:szCs w:val="24"/>
          <w:lang w:eastAsia="en-US"/>
          <w14:ligatures w14:val="standardContextual"/>
        </w:rPr>
      </w:pPr>
      <w:r>
        <w:rPr>
          <w:rFonts w:ascii="Arial" w:hAnsi="Arial" w:cs="Arial" w:eastAsiaTheme="majorEastAsia"/>
          <w:bCs/>
          <w:kern w:val="2"/>
          <w:sz w:val="24"/>
          <w:szCs w:val="24"/>
          <w:lang w:eastAsia="en-US"/>
          <w14:ligatures w14:val="standardContextual"/>
        </w:rPr>
        <w:t>Os quantitativos da referida aquisição serão demonstrados na tabela a seguir:</w:t>
      </w:r>
    </w:p>
    <w:tbl>
      <w:tblPr>
        <w:tblStyle w:val="7"/>
        <w:tblW w:w="9099" w:type="dxa"/>
        <w:tblInd w:w="0" w:type="dxa"/>
        <w:tblLayout w:type="fixed"/>
        <w:tblCellMar>
          <w:top w:w="0" w:type="dxa"/>
          <w:left w:w="70" w:type="dxa"/>
          <w:bottom w:w="0" w:type="dxa"/>
          <w:right w:w="70" w:type="dxa"/>
        </w:tblCellMar>
      </w:tblPr>
      <w:tblGrid>
        <w:gridCol w:w="709"/>
        <w:gridCol w:w="3118"/>
        <w:gridCol w:w="680"/>
        <w:gridCol w:w="3118"/>
        <w:gridCol w:w="1474"/>
      </w:tblGrid>
      <w:tr w14:paraId="4BA7BDF7">
        <w:tblPrEx>
          <w:tblCellMar>
            <w:top w:w="0" w:type="dxa"/>
            <w:left w:w="70" w:type="dxa"/>
            <w:bottom w:w="0" w:type="dxa"/>
            <w:right w:w="70" w:type="dxa"/>
          </w:tblCellMar>
        </w:tblPrEx>
        <w:trPr>
          <w:trHeight w:val="379" w:hRule="atLeast"/>
        </w:trPr>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14:paraId="4A707351">
            <w:pPr>
              <w:ind w:left="-57" w:right="-57"/>
              <w:jc w:val="center"/>
              <w:rPr>
                <w:rFonts w:ascii="Arial" w:hAnsi="Arial" w:cs="Arial"/>
                <w:b/>
                <w:color w:val="000000"/>
                <w:lang w:eastAsia="pt-BR"/>
              </w:rPr>
            </w:pPr>
            <w:r>
              <w:rPr>
                <w:rFonts w:ascii="Arial" w:hAnsi="Arial" w:cs="Arial"/>
                <w:b/>
                <w:color w:val="000000"/>
                <w:lang w:eastAsia="pt-BR"/>
              </w:rPr>
              <w:t>ITEM</w:t>
            </w:r>
          </w:p>
        </w:tc>
        <w:tc>
          <w:tcPr>
            <w:tcW w:w="3118" w:type="dxa"/>
            <w:tcBorders>
              <w:top w:val="single" w:color="auto" w:sz="12" w:space="0"/>
              <w:left w:val="nil"/>
              <w:bottom w:val="single" w:color="auto" w:sz="12" w:space="0"/>
              <w:right w:val="single" w:color="auto" w:sz="12" w:space="0"/>
            </w:tcBorders>
            <w:shd w:val="clear" w:color="auto" w:fill="auto"/>
            <w:vAlign w:val="center"/>
          </w:tcPr>
          <w:p w14:paraId="77610CF3">
            <w:pPr>
              <w:ind w:left="-113" w:right="-113"/>
              <w:jc w:val="center"/>
              <w:rPr>
                <w:rFonts w:ascii="Arial" w:hAnsi="Arial" w:cs="Arial"/>
                <w:b/>
                <w:color w:val="000000"/>
                <w:lang w:eastAsia="pt-BR"/>
              </w:rPr>
            </w:pPr>
            <w:r>
              <w:rPr>
                <w:rFonts w:ascii="Arial" w:hAnsi="Arial" w:cs="Arial"/>
                <w:b/>
                <w:color w:val="000000"/>
                <w:lang w:eastAsia="pt-BR"/>
              </w:rPr>
              <w:t>PRODUTO</w:t>
            </w:r>
          </w:p>
        </w:tc>
        <w:tc>
          <w:tcPr>
            <w:tcW w:w="680" w:type="dxa"/>
            <w:tcBorders>
              <w:top w:val="single" w:color="auto" w:sz="12" w:space="0"/>
              <w:left w:val="nil"/>
              <w:bottom w:val="single" w:color="auto" w:sz="12" w:space="0"/>
              <w:right w:val="single" w:color="auto" w:sz="12" w:space="0"/>
            </w:tcBorders>
            <w:vAlign w:val="center"/>
          </w:tcPr>
          <w:p w14:paraId="2EC07D7F">
            <w:pPr>
              <w:ind w:left="-57" w:right="-57"/>
              <w:jc w:val="center"/>
              <w:rPr>
                <w:rFonts w:ascii="Arial" w:hAnsi="Arial" w:cs="Arial"/>
                <w:b/>
                <w:color w:val="000000"/>
                <w:lang w:eastAsia="pt-BR"/>
              </w:rPr>
            </w:pPr>
            <w:r>
              <w:rPr>
                <w:rFonts w:ascii="Arial" w:hAnsi="Arial" w:cs="Arial"/>
                <w:b/>
                <w:color w:val="000000"/>
                <w:lang w:eastAsia="pt-BR"/>
              </w:rPr>
              <w:t>UNID</w:t>
            </w:r>
          </w:p>
        </w:tc>
        <w:tc>
          <w:tcPr>
            <w:tcW w:w="3118" w:type="dxa"/>
            <w:tcBorders>
              <w:top w:val="single" w:color="auto" w:sz="12" w:space="0"/>
              <w:left w:val="single" w:color="auto" w:sz="12" w:space="0"/>
              <w:bottom w:val="single" w:color="auto" w:sz="12" w:space="0"/>
              <w:right w:val="single" w:color="auto" w:sz="12" w:space="0"/>
            </w:tcBorders>
            <w:vAlign w:val="center"/>
          </w:tcPr>
          <w:p w14:paraId="48CB5009">
            <w:pPr>
              <w:jc w:val="center"/>
              <w:rPr>
                <w:rFonts w:ascii="Arial" w:hAnsi="Arial" w:cs="Arial"/>
                <w:b/>
                <w:color w:val="000000"/>
                <w:lang w:eastAsia="pt-BR"/>
              </w:rPr>
            </w:pPr>
            <w:r>
              <w:rPr>
                <w:rFonts w:ascii="Arial" w:hAnsi="Arial" w:cs="Arial"/>
                <w:b/>
                <w:color w:val="000000"/>
                <w:lang w:eastAsia="pt-BR"/>
              </w:rPr>
              <w:t>QUANTIDADE POR TAMANHOS</w:t>
            </w:r>
          </w:p>
        </w:tc>
        <w:tc>
          <w:tcPr>
            <w:tcW w:w="1474" w:type="dxa"/>
            <w:tcBorders>
              <w:top w:val="single" w:color="auto" w:sz="12" w:space="0"/>
              <w:left w:val="single" w:color="auto" w:sz="12" w:space="0"/>
              <w:bottom w:val="single" w:color="auto" w:sz="12" w:space="0"/>
              <w:right w:val="single" w:color="auto" w:sz="12" w:space="0"/>
            </w:tcBorders>
            <w:vAlign w:val="center"/>
          </w:tcPr>
          <w:p w14:paraId="707F3C39">
            <w:pPr>
              <w:ind w:left="-57" w:right="-57"/>
              <w:jc w:val="center"/>
              <w:rPr>
                <w:rFonts w:ascii="Arial" w:hAnsi="Arial" w:cs="Arial"/>
                <w:b/>
                <w:color w:val="000000"/>
                <w:lang w:eastAsia="pt-BR"/>
              </w:rPr>
            </w:pPr>
            <w:r>
              <w:rPr>
                <w:rFonts w:ascii="Arial" w:hAnsi="Arial" w:cs="Arial"/>
                <w:b/>
                <w:color w:val="000000"/>
                <w:lang w:eastAsia="pt-BR"/>
              </w:rPr>
              <w:t>QUANTIDADE TOTAL</w:t>
            </w:r>
          </w:p>
        </w:tc>
      </w:tr>
      <w:tr w14:paraId="22DC898D">
        <w:tblPrEx>
          <w:tblCellMar>
            <w:top w:w="0" w:type="dxa"/>
            <w:left w:w="70" w:type="dxa"/>
            <w:bottom w:w="0" w:type="dxa"/>
            <w:right w:w="70" w:type="dxa"/>
          </w:tblCellMar>
        </w:tblPrEx>
        <w:trPr>
          <w:trHeight w:val="915" w:hRule="atLeast"/>
        </w:trPr>
        <w:tc>
          <w:tcPr>
            <w:tcW w:w="709" w:type="dxa"/>
            <w:tcBorders>
              <w:top w:val="single" w:color="auto" w:sz="12" w:space="0"/>
              <w:left w:val="single" w:color="auto" w:sz="12" w:space="0"/>
              <w:bottom w:val="single" w:color="auto" w:sz="12" w:space="0"/>
              <w:right w:val="single" w:color="auto" w:sz="12" w:space="0"/>
            </w:tcBorders>
            <w:shd w:val="clear" w:color="auto" w:fill="auto"/>
            <w:vAlign w:val="center"/>
          </w:tcPr>
          <w:p w14:paraId="0B473F26">
            <w:pPr>
              <w:jc w:val="center"/>
              <w:rPr>
                <w:rFonts w:ascii="Arial" w:hAnsi="Arial" w:cs="Arial"/>
                <w:color w:val="000000"/>
                <w:lang w:eastAsia="pt-BR"/>
              </w:rPr>
            </w:pPr>
            <w:r>
              <w:rPr>
                <w:rFonts w:ascii="Arial" w:hAnsi="Arial" w:cs="Arial"/>
                <w:sz w:val="24"/>
                <w:szCs w:val="24"/>
              </w:rPr>
              <w:t>1.</w:t>
            </w:r>
          </w:p>
        </w:tc>
        <w:tc>
          <w:tcPr>
            <w:tcW w:w="3118" w:type="dxa"/>
            <w:tcBorders>
              <w:top w:val="single" w:color="auto" w:sz="12" w:space="0"/>
              <w:left w:val="nil"/>
              <w:bottom w:val="single" w:color="auto" w:sz="12" w:space="0"/>
              <w:right w:val="single" w:color="auto" w:sz="12" w:space="0"/>
            </w:tcBorders>
            <w:shd w:val="clear" w:color="auto" w:fill="auto"/>
            <w:vAlign w:val="center"/>
          </w:tcPr>
          <w:p w14:paraId="041A9D23">
            <w:pPr>
              <w:jc w:val="center"/>
              <w:textAlignment w:val="baseline"/>
              <w:rPr>
                <w:rFonts w:ascii="Arial" w:hAnsi="Arial" w:cs="Arial"/>
                <w:b/>
                <w:sz w:val="24"/>
                <w:szCs w:val="24"/>
              </w:rPr>
            </w:pPr>
            <w:r>
              <w:rPr>
                <w:rFonts w:ascii="Arial" w:hAnsi="Arial" w:cs="Arial"/>
                <w:b/>
                <w:sz w:val="24"/>
                <w:szCs w:val="24"/>
              </w:rPr>
              <w:t xml:space="preserve">Tênis para uso Escolar - </w:t>
            </w:r>
          </w:p>
          <w:p w14:paraId="05CCB763">
            <w:pPr>
              <w:jc w:val="both"/>
              <w:rPr>
                <w:rFonts w:ascii="Arial" w:hAnsi="Arial" w:cs="Arial"/>
                <w:sz w:val="24"/>
                <w:szCs w:val="24"/>
                <w:lang w:eastAsia="pt-BR"/>
              </w:rPr>
            </w:pPr>
            <w:r>
              <w:rPr>
                <w:rFonts w:ascii="Arial" w:hAnsi="Arial" w:cs="Arial"/>
                <w:sz w:val="24"/>
                <w:szCs w:val="24"/>
                <w:lang w:eastAsia="pt-BR"/>
              </w:rPr>
              <w:t>Tênis para uso escolar grade 18 ao 25 fechamento em Cadarço, apropriado para caminhadas, corridas leves, prática de esportes difusos moderados, uso diário, leve, versátil, resistente, duradouro, confortável, produzido e confeccionado a partir de duas partes distintas (CABEDAL e SOLADO) nas quais são unidas pelo processo de adesivos a base de água, trazendo benefícios ao meio ambiente no qual não receberá dejetos químicos dos adesivos.</w:t>
            </w:r>
          </w:p>
        </w:tc>
        <w:tc>
          <w:tcPr>
            <w:tcW w:w="680" w:type="dxa"/>
            <w:tcBorders>
              <w:top w:val="single" w:color="auto" w:sz="12" w:space="0"/>
              <w:left w:val="nil"/>
              <w:bottom w:val="single" w:color="auto" w:sz="12" w:space="0"/>
              <w:right w:val="single" w:color="auto" w:sz="12" w:space="0"/>
            </w:tcBorders>
            <w:vAlign w:val="center"/>
          </w:tcPr>
          <w:p w14:paraId="5FD9BFBA">
            <w:pPr>
              <w:jc w:val="center"/>
              <w:textAlignment w:val="baseline"/>
              <w:rPr>
                <w:rFonts w:ascii="Arial" w:hAnsi="Arial" w:cs="Arial"/>
                <w:sz w:val="24"/>
                <w:szCs w:val="24"/>
              </w:rPr>
            </w:pPr>
            <w:r>
              <w:rPr>
                <w:rFonts w:ascii="Arial" w:hAnsi="Arial" w:cs="Arial"/>
                <w:sz w:val="24"/>
                <w:szCs w:val="24"/>
              </w:rPr>
              <w:t>PAR</w:t>
            </w:r>
          </w:p>
        </w:tc>
        <w:tc>
          <w:tcPr>
            <w:tcW w:w="3118" w:type="dxa"/>
            <w:tcBorders>
              <w:top w:val="single" w:color="auto" w:sz="12" w:space="0"/>
              <w:left w:val="single" w:color="auto" w:sz="12" w:space="0"/>
              <w:bottom w:val="single" w:color="auto" w:sz="12" w:space="0"/>
              <w:right w:val="single" w:color="auto" w:sz="12" w:space="0"/>
            </w:tcBorders>
            <w:vAlign w:val="center"/>
          </w:tcPr>
          <w:p w14:paraId="55394A59">
            <w:pPr>
              <w:spacing w:after="60"/>
              <w:jc w:val="center"/>
              <w:textAlignment w:val="baseline"/>
              <w:rPr>
                <w:rFonts w:ascii="Arial" w:hAnsi="Arial" w:cs="Arial"/>
                <w:sz w:val="24"/>
                <w:szCs w:val="24"/>
              </w:rPr>
            </w:pPr>
            <w:r>
              <w:rPr>
                <w:rFonts w:ascii="Arial" w:hAnsi="Arial" w:cs="Arial"/>
                <w:sz w:val="24"/>
                <w:szCs w:val="24"/>
              </w:rPr>
              <w:t>Tamanho Nº 18 = 12 Pares</w:t>
            </w:r>
          </w:p>
          <w:p w14:paraId="28A7D317">
            <w:pPr>
              <w:spacing w:after="60"/>
              <w:jc w:val="center"/>
              <w:textAlignment w:val="baseline"/>
              <w:rPr>
                <w:rFonts w:ascii="Arial" w:hAnsi="Arial" w:cs="Arial"/>
                <w:sz w:val="24"/>
                <w:szCs w:val="24"/>
              </w:rPr>
            </w:pPr>
            <w:r>
              <w:rPr>
                <w:rFonts w:ascii="Arial" w:hAnsi="Arial" w:cs="Arial"/>
                <w:sz w:val="24"/>
                <w:szCs w:val="24"/>
              </w:rPr>
              <w:t>Tamanho Nº 19 = 15 Pares</w:t>
            </w:r>
          </w:p>
          <w:p w14:paraId="6B6E4774">
            <w:pPr>
              <w:spacing w:after="60"/>
              <w:jc w:val="center"/>
              <w:textAlignment w:val="baseline"/>
              <w:rPr>
                <w:rFonts w:ascii="Arial" w:hAnsi="Arial" w:cs="Arial"/>
                <w:sz w:val="24"/>
                <w:szCs w:val="24"/>
              </w:rPr>
            </w:pPr>
            <w:r>
              <w:rPr>
                <w:rFonts w:ascii="Arial" w:hAnsi="Arial" w:cs="Arial"/>
                <w:sz w:val="24"/>
                <w:szCs w:val="24"/>
              </w:rPr>
              <w:t>Tamanho Nº 20 = 13 Pares</w:t>
            </w:r>
          </w:p>
          <w:p w14:paraId="0AED46D7">
            <w:pPr>
              <w:spacing w:after="60"/>
              <w:jc w:val="center"/>
              <w:textAlignment w:val="baseline"/>
              <w:rPr>
                <w:rFonts w:ascii="Arial" w:hAnsi="Arial" w:cs="Arial"/>
                <w:sz w:val="24"/>
                <w:szCs w:val="24"/>
              </w:rPr>
            </w:pPr>
            <w:r>
              <w:rPr>
                <w:rFonts w:ascii="Arial" w:hAnsi="Arial" w:cs="Arial"/>
                <w:sz w:val="24"/>
                <w:szCs w:val="24"/>
              </w:rPr>
              <w:t>Tamanho Nº 21 = 13 Pares</w:t>
            </w:r>
          </w:p>
          <w:p w14:paraId="1844A2A5">
            <w:pPr>
              <w:spacing w:after="60"/>
              <w:jc w:val="center"/>
              <w:textAlignment w:val="baseline"/>
              <w:rPr>
                <w:rFonts w:ascii="Arial" w:hAnsi="Arial" w:cs="Arial"/>
                <w:sz w:val="24"/>
                <w:szCs w:val="24"/>
              </w:rPr>
            </w:pPr>
            <w:r>
              <w:rPr>
                <w:rFonts w:ascii="Arial" w:hAnsi="Arial" w:cs="Arial"/>
                <w:sz w:val="24"/>
                <w:szCs w:val="24"/>
              </w:rPr>
              <w:t>Tamanho Nº 22 = 15 Pares</w:t>
            </w:r>
          </w:p>
          <w:p w14:paraId="1016599C">
            <w:pPr>
              <w:spacing w:after="60"/>
              <w:jc w:val="center"/>
              <w:textAlignment w:val="baseline"/>
              <w:rPr>
                <w:rFonts w:ascii="Arial" w:hAnsi="Arial" w:cs="Arial"/>
                <w:sz w:val="24"/>
                <w:szCs w:val="24"/>
              </w:rPr>
            </w:pPr>
            <w:r>
              <w:rPr>
                <w:rFonts w:ascii="Arial" w:hAnsi="Arial" w:cs="Arial"/>
                <w:sz w:val="24"/>
                <w:szCs w:val="24"/>
              </w:rPr>
              <w:t>Tamanho Nº 23 = 22 Pares</w:t>
            </w:r>
          </w:p>
          <w:p w14:paraId="1BF77668">
            <w:pPr>
              <w:spacing w:after="60"/>
              <w:jc w:val="center"/>
              <w:textAlignment w:val="baseline"/>
              <w:rPr>
                <w:rFonts w:ascii="Arial" w:hAnsi="Arial" w:cs="Arial"/>
                <w:sz w:val="24"/>
                <w:szCs w:val="24"/>
              </w:rPr>
            </w:pPr>
            <w:r>
              <w:rPr>
                <w:rFonts w:ascii="Arial" w:hAnsi="Arial" w:cs="Arial"/>
                <w:sz w:val="24"/>
                <w:szCs w:val="24"/>
              </w:rPr>
              <w:t>Tamanho Nº 24 = 16 Pares</w:t>
            </w:r>
          </w:p>
          <w:p w14:paraId="4B1330D9">
            <w:pPr>
              <w:spacing w:after="60"/>
              <w:jc w:val="center"/>
              <w:textAlignment w:val="baseline"/>
              <w:rPr>
                <w:rFonts w:ascii="Arial" w:hAnsi="Arial" w:cs="Arial"/>
                <w:sz w:val="24"/>
                <w:szCs w:val="24"/>
              </w:rPr>
            </w:pPr>
            <w:r>
              <w:rPr>
                <w:rFonts w:ascii="Arial" w:hAnsi="Arial" w:cs="Arial"/>
                <w:sz w:val="24"/>
                <w:szCs w:val="24"/>
              </w:rPr>
              <w:t>Tamanho Nº 25 = 28 Pares</w:t>
            </w:r>
          </w:p>
        </w:tc>
        <w:tc>
          <w:tcPr>
            <w:tcW w:w="1474" w:type="dxa"/>
            <w:tcBorders>
              <w:top w:val="single" w:color="auto" w:sz="12" w:space="0"/>
              <w:left w:val="single" w:color="auto" w:sz="12" w:space="0"/>
              <w:bottom w:val="single" w:color="auto" w:sz="12" w:space="0"/>
              <w:right w:val="single" w:color="auto" w:sz="12" w:space="0"/>
            </w:tcBorders>
            <w:vAlign w:val="center"/>
          </w:tcPr>
          <w:p w14:paraId="346E1592">
            <w:pPr>
              <w:jc w:val="center"/>
              <w:textAlignment w:val="baseline"/>
              <w:rPr>
                <w:rFonts w:ascii="Arial" w:hAnsi="Arial" w:cs="Arial"/>
                <w:sz w:val="24"/>
                <w:szCs w:val="24"/>
              </w:rPr>
            </w:pPr>
            <w:r>
              <w:rPr>
                <w:rFonts w:ascii="Arial" w:hAnsi="Arial" w:cs="Arial"/>
                <w:sz w:val="24"/>
                <w:szCs w:val="24"/>
              </w:rPr>
              <w:t>134 Pares</w:t>
            </w:r>
          </w:p>
        </w:tc>
      </w:tr>
    </w:tbl>
    <w:p w14:paraId="57064E68">
      <w:pPr>
        <w:spacing w:line="360" w:lineRule="auto"/>
        <w:jc w:val="both"/>
        <w:rPr>
          <w:rFonts w:ascii="Arial" w:hAnsi="Arial" w:cs="Arial" w:eastAsiaTheme="majorEastAsia"/>
          <w:bCs/>
          <w:kern w:val="2"/>
          <w:sz w:val="24"/>
          <w:szCs w:val="24"/>
          <w:lang w:eastAsia="en-US"/>
          <w14:ligatures w14:val="standardContextual"/>
        </w:rPr>
      </w:pPr>
    </w:p>
    <w:p w14:paraId="3D461338">
      <w:pPr>
        <w:spacing w:line="360" w:lineRule="auto"/>
        <w:jc w:val="center"/>
        <w:rPr>
          <w:rFonts w:ascii="Arial" w:hAnsi="Arial" w:cs="Arial" w:eastAsiaTheme="majorEastAsia"/>
          <w:bCs/>
          <w:kern w:val="2"/>
          <w:sz w:val="24"/>
          <w:szCs w:val="24"/>
          <w:lang w:eastAsia="en-US"/>
          <w14:ligatures w14:val="standardContextual"/>
        </w:rPr>
      </w:pPr>
      <w:r>
        <w:rPr>
          <w:rFonts w:ascii="Calibri Light" w:hAnsi="Calibri Light" w:cs="Calibri Light"/>
          <w:sz w:val="24"/>
          <w:szCs w:val="24"/>
          <w:lang w:eastAsia="pt-BR"/>
        </w:rPr>
        <w:drawing>
          <wp:inline distT="0" distB="0" distL="0" distR="0">
            <wp:extent cx="3131185" cy="1884045"/>
            <wp:effectExtent l="0" t="0" r="8255"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7" cstate="print">
                      <a:extLst>
                        <a:ext uri="{BEBA8EAE-BF5A-486C-A8C5-ECC9F3942E4B}">
                          <a14:imgProps xmlns:a14="http://schemas.microsoft.com/office/drawing/2010/main">
                            <a14:imgLayer r:embed="rId8">
                              <a14:imgEffect>
                                <a14:artisticGlowDiffused/>
                              </a14:imgEffect>
                            </a14:imgLayer>
                          </a14:imgProps>
                        </a:ext>
                        <a:ext uri="{28A0092B-C50C-407E-A947-70E740481C1C}">
                          <a14:useLocalDpi xmlns:a14="http://schemas.microsoft.com/office/drawing/2010/main" val="0"/>
                        </a:ext>
                      </a:extLst>
                    </a:blip>
                    <a:stretch>
                      <a:fillRect/>
                    </a:stretch>
                  </pic:blipFill>
                  <pic:spPr>
                    <a:xfrm>
                      <a:off x="0" y="0"/>
                      <a:ext cx="3147868" cy="1894495"/>
                    </a:xfrm>
                    <a:prstGeom prst="rect">
                      <a:avLst/>
                    </a:prstGeom>
                  </pic:spPr>
                </pic:pic>
              </a:graphicData>
            </a:graphic>
          </wp:inline>
        </w:drawing>
      </w:r>
    </w:p>
    <w:p w14:paraId="24EDFBFE">
      <w:pPr>
        <w:spacing w:line="360" w:lineRule="auto"/>
        <w:jc w:val="both"/>
        <w:rPr>
          <w:rFonts w:ascii="Arial" w:hAnsi="Arial" w:cs="Arial"/>
          <w:sz w:val="24"/>
          <w:szCs w:val="24"/>
          <w:lang w:eastAsia="pt-BR"/>
        </w:rPr>
      </w:pPr>
      <w:r>
        <w:rPr>
          <w:rFonts w:ascii="Arial" w:hAnsi="Arial" w:cs="Arial"/>
          <w:b/>
          <w:sz w:val="24"/>
          <w:szCs w:val="24"/>
          <w:lang w:eastAsia="pt-BR"/>
        </w:rPr>
        <w:t>DESCRIÇÃO:</w:t>
      </w:r>
      <w:r>
        <w:rPr>
          <w:rFonts w:ascii="Arial" w:hAnsi="Arial" w:cs="Arial"/>
          <w:sz w:val="24"/>
          <w:szCs w:val="24"/>
          <w:lang w:eastAsia="pt-BR"/>
        </w:rPr>
        <w:t xml:space="preserve"> Tênis para uso escolar grade  18 ao 25 fechamento em Cadarço, apropriado para caminhadas, corridas leves, prática de esportes difusos moderados, uso diário, leve, versátil, resistente, duradouro, confortável, produzido e confeccionado a partir de duas partes distintas (CABEDAL e SOLADO) nas quais são unidas pelo processo de adesivos a base de água, trazendo benefícios ao meio ambiente no qual não receberá dejetos químicos dos adesivos.</w:t>
      </w:r>
    </w:p>
    <w:p w14:paraId="486CF1AA">
      <w:pPr>
        <w:pStyle w:val="36"/>
        <w:spacing w:line="360" w:lineRule="auto"/>
        <w:jc w:val="both"/>
        <w:rPr>
          <w:rFonts w:ascii="Arial" w:hAnsi="Arial" w:eastAsia="Times New Roman" w:cs="Arial"/>
          <w:b/>
          <w:sz w:val="24"/>
          <w:szCs w:val="24"/>
          <w:lang w:eastAsia="pt-BR"/>
        </w:rPr>
      </w:pPr>
    </w:p>
    <w:p w14:paraId="5E348685">
      <w:pPr>
        <w:pStyle w:val="36"/>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 xml:space="preserve">CONDIÇÕES DE FABRICAÇÃO: </w:t>
      </w:r>
    </w:p>
    <w:p w14:paraId="17C50443">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Responsabilidade pela Fabricação:</w:t>
      </w:r>
      <w:r>
        <w:rPr>
          <w:rFonts w:ascii="Arial" w:hAnsi="Arial" w:eastAsia="Times New Roman" w:cs="Arial"/>
          <w:sz w:val="24"/>
          <w:szCs w:val="24"/>
          <w:lang w:eastAsia="pt-BR"/>
        </w:rPr>
        <w:t xml:space="preserve"> O fabricante é o responsável pela produção do artigo, de acordo com as características estabelecidas na presente norma.</w:t>
      </w:r>
    </w:p>
    <w:p w14:paraId="329620B9">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 xml:space="preserve">Processo de fabricação: </w:t>
      </w:r>
      <w:r>
        <w:rPr>
          <w:rFonts w:ascii="Arial" w:hAnsi="Arial" w:eastAsia="Times New Roman" w:cs="Arial"/>
          <w:sz w:val="24"/>
          <w:szCs w:val="24"/>
          <w:lang w:eastAsia="pt-BR"/>
        </w:rPr>
        <w:t>Os procedimentos fabris embora sejam dependentes das escolhas mais apropriadas para cada tipo de calçado, a mesma deverá ser executada conforme normas de qualidades mundiais.</w:t>
      </w:r>
    </w:p>
    <w:p w14:paraId="48009383">
      <w:pPr>
        <w:pStyle w:val="36"/>
        <w:spacing w:line="360" w:lineRule="auto"/>
        <w:jc w:val="both"/>
        <w:rPr>
          <w:rFonts w:ascii="Arial" w:hAnsi="Arial" w:eastAsia="Times New Roman" w:cs="Arial"/>
          <w:sz w:val="24"/>
          <w:szCs w:val="24"/>
          <w:lang w:eastAsia="pt-BR"/>
        </w:rPr>
      </w:pPr>
    </w:p>
    <w:p w14:paraId="5D1E2048">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Garantia de Qualidade:</w:t>
      </w:r>
      <w:r>
        <w:rPr>
          <w:rFonts w:ascii="Arial" w:hAnsi="Arial" w:eastAsia="Times New Roman" w:cs="Arial"/>
          <w:sz w:val="24"/>
          <w:szCs w:val="24"/>
          <w:lang w:eastAsia="pt-BR"/>
        </w:rPr>
        <w:t xml:space="preserve"> O fabricante deve garantir a qualidade do calçado, mediante controle das matérias-primas e do produto acabado, em todo o processo de fabricação.</w:t>
      </w:r>
    </w:p>
    <w:p w14:paraId="5927E1FA">
      <w:pPr>
        <w:pStyle w:val="36"/>
        <w:spacing w:line="360" w:lineRule="auto"/>
        <w:jc w:val="both"/>
        <w:rPr>
          <w:rFonts w:ascii="Arial" w:hAnsi="Arial" w:eastAsia="Times New Roman" w:cs="Arial"/>
          <w:sz w:val="24"/>
          <w:szCs w:val="24"/>
          <w:lang w:eastAsia="pt-BR"/>
        </w:rPr>
      </w:pPr>
    </w:p>
    <w:p w14:paraId="5FBF92FD">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 xml:space="preserve">CARACTERISTICAS GERAIS: </w:t>
      </w:r>
      <w:r>
        <w:rPr>
          <w:rFonts w:ascii="Arial" w:hAnsi="Arial" w:cs="Arial"/>
          <w:sz w:val="24"/>
          <w:szCs w:val="24"/>
          <w:lang w:eastAsia="pt-BR"/>
        </w:rPr>
        <w:t>O calçado Tipo Tênis Running é constituído de duas partes principais: cabedal e solado, e tem como complemento obrigatório itens de acabamentos. o produto em questão deve ser fabricado em diversos tamanhos dentre eles são 18, 19, 20, 21, 22, 23, 24, 25 .</w:t>
      </w:r>
      <w:r>
        <w:rPr>
          <w:rFonts w:ascii="Arial" w:hAnsi="Arial" w:eastAsia="Times New Roman" w:cs="Arial"/>
          <w:sz w:val="24"/>
          <w:szCs w:val="24"/>
          <w:lang w:eastAsia="pt-BR"/>
        </w:rPr>
        <w:t xml:space="preserve">Por se tratar de um produto em produção fabril exige-se que as dimensões dos calçados acompanhem os padrões comerciais baseados na escala francesa cujo fator de conversão 0,66667. A medição em centímetros é sempre realizada na fôrma utilizada para a montagem do calçado. A medida realizada em calçado já confeccionado deverá ser realizada na palmilha de higienização ou na base interna da entressola, com variação permitida de 3% (+/-). </w:t>
      </w:r>
    </w:p>
    <w:p w14:paraId="6A152868">
      <w:pPr>
        <w:pStyle w:val="36"/>
        <w:spacing w:line="360" w:lineRule="auto"/>
        <w:jc w:val="both"/>
        <w:rPr>
          <w:rFonts w:ascii="Arial" w:hAnsi="Arial" w:eastAsia="Times New Roman" w:cs="Arial"/>
          <w:b/>
          <w:sz w:val="24"/>
          <w:szCs w:val="24"/>
          <w:lang w:eastAsia="pt-BR"/>
        </w:rPr>
      </w:pPr>
    </w:p>
    <w:p w14:paraId="3BF4C968">
      <w:pPr>
        <w:pStyle w:val="36"/>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Características Especificas:</w:t>
      </w:r>
    </w:p>
    <w:p w14:paraId="38DF5CCB">
      <w:pPr>
        <w:pStyle w:val="36"/>
        <w:numPr>
          <w:ilvl w:val="0"/>
          <w:numId w:val="14"/>
        </w:numPr>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COMPONENTES ESPECIFICOS DO CABEDAL</w:t>
      </w:r>
      <w:r>
        <w:rPr>
          <w:rFonts w:ascii="Arial" w:hAnsi="Arial" w:eastAsia="Times New Roman" w:cs="Arial"/>
          <w:b/>
          <w:sz w:val="24"/>
          <w:szCs w:val="24"/>
          <w:lang w:eastAsia="pt-BR"/>
        </w:rPr>
        <w:tab/>
      </w:r>
    </w:p>
    <w:p w14:paraId="6BF7B28F">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GÁSPEA</w:t>
      </w:r>
    </w:p>
    <w:p w14:paraId="1889F77C">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FRENTE</w:t>
      </w:r>
    </w:p>
    <w:p w14:paraId="7FE81A4C">
      <w:pPr>
        <w:pStyle w:val="36"/>
        <w:spacing w:line="360" w:lineRule="auto"/>
        <w:jc w:val="both"/>
        <w:rPr>
          <w:rFonts w:ascii="Arial" w:hAnsi="Arial" w:eastAsia="Times New Roman" w:cs="Arial"/>
          <w:sz w:val="24"/>
          <w:szCs w:val="24"/>
          <w:lang w:eastAsia="pt-BR"/>
        </w:rPr>
      </w:pPr>
      <w:r>
        <w:rPr>
          <w:rFonts w:ascii="Arial" w:hAnsi="Arial" w:eastAsia="Times New Roman" w:cs="Arial"/>
          <w:sz w:val="24"/>
          <w:szCs w:val="24"/>
          <w:lang w:eastAsia="pt-BR"/>
        </w:rPr>
        <w:tab/>
      </w:r>
      <w:r>
        <w:rPr>
          <w:rFonts w:ascii="Arial" w:hAnsi="Arial" w:eastAsia="Times New Roman" w:cs="Arial"/>
          <w:sz w:val="24"/>
          <w:szCs w:val="24"/>
          <w:lang w:eastAsia="pt-BR"/>
        </w:rPr>
        <w:t>TALONEIRA</w:t>
      </w:r>
    </w:p>
    <w:p w14:paraId="0645D60A">
      <w:pPr>
        <w:pStyle w:val="36"/>
        <w:spacing w:line="360" w:lineRule="auto"/>
        <w:jc w:val="both"/>
        <w:rPr>
          <w:rFonts w:ascii="Arial" w:hAnsi="Arial" w:eastAsia="Times New Roman" w:cs="Arial"/>
          <w:sz w:val="24"/>
          <w:szCs w:val="24"/>
          <w:lang w:eastAsia="pt-BR"/>
        </w:rPr>
      </w:pPr>
      <w:r>
        <w:rPr>
          <w:rFonts w:ascii="Arial" w:hAnsi="Arial" w:eastAsia="Times New Roman" w:cs="Arial"/>
          <w:sz w:val="24"/>
          <w:szCs w:val="24"/>
          <w:lang w:eastAsia="pt-BR"/>
        </w:rPr>
        <w:tab/>
      </w:r>
      <w:r>
        <w:rPr>
          <w:rFonts w:ascii="Arial" w:hAnsi="Arial" w:eastAsia="Times New Roman" w:cs="Arial"/>
          <w:sz w:val="24"/>
          <w:szCs w:val="24"/>
          <w:lang w:eastAsia="pt-BR"/>
        </w:rPr>
        <w:t>TESOURINHA</w:t>
      </w:r>
    </w:p>
    <w:p w14:paraId="4030FDFF">
      <w:pPr>
        <w:pStyle w:val="36"/>
        <w:spacing w:line="360" w:lineRule="auto"/>
        <w:jc w:val="both"/>
        <w:rPr>
          <w:rFonts w:ascii="Arial" w:hAnsi="Arial" w:eastAsia="Times New Roman" w:cs="Arial"/>
          <w:sz w:val="24"/>
          <w:szCs w:val="24"/>
          <w:lang w:eastAsia="pt-BR"/>
        </w:rPr>
      </w:pPr>
      <w:r>
        <w:rPr>
          <w:rFonts w:ascii="Arial" w:hAnsi="Arial" w:eastAsia="Times New Roman" w:cs="Arial"/>
          <w:sz w:val="24"/>
          <w:szCs w:val="24"/>
          <w:lang w:eastAsia="pt-BR"/>
        </w:rPr>
        <w:tab/>
      </w:r>
      <w:r>
        <w:rPr>
          <w:rFonts w:ascii="Arial" w:hAnsi="Arial" w:eastAsia="Times New Roman" w:cs="Arial"/>
          <w:sz w:val="24"/>
          <w:szCs w:val="24"/>
          <w:lang w:eastAsia="pt-BR"/>
        </w:rPr>
        <w:t>REFORÇO GÁSPEA</w:t>
      </w:r>
    </w:p>
    <w:p w14:paraId="328CFA9A">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LINGUETA</w:t>
      </w:r>
    </w:p>
    <w:p w14:paraId="6576AD0D">
      <w:pPr>
        <w:pStyle w:val="36"/>
        <w:spacing w:line="360" w:lineRule="auto"/>
        <w:jc w:val="both"/>
        <w:rPr>
          <w:rFonts w:ascii="Arial" w:hAnsi="Arial" w:eastAsia="Times New Roman" w:cs="Arial"/>
          <w:sz w:val="24"/>
          <w:szCs w:val="24"/>
          <w:lang w:eastAsia="pt-BR"/>
        </w:rPr>
      </w:pPr>
      <w:r>
        <w:rPr>
          <w:rFonts w:ascii="Arial" w:hAnsi="Arial" w:eastAsia="Times New Roman" w:cs="Arial"/>
          <w:sz w:val="24"/>
          <w:szCs w:val="24"/>
          <w:lang w:eastAsia="pt-BR"/>
        </w:rPr>
        <w:tab/>
      </w:r>
      <w:r>
        <w:rPr>
          <w:rFonts w:ascii="Arial" w:hAnsi="Arial" w:eastAsia="Times New Roman" w:cs="Arial"/>
          <w:sz w:val="24"/>
          <w:szCs w:val="24"/>
          <w:lang w:eastAsia="pt-BR"/>
        </w:rPr>
        <w:t>FORRO DA LINGUETA</w:t>
      </w:r>
    </w:p>
    <w:p w14:paraId="14D9B407">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ENCHIMENTO DA LINGUETA</w:t>
      </w:r>
    </w:p>
    <w:p w14:paraId="7EDC1E05">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COLARINHO</w:t>
      </w:r>
    </w:p>
    <w:p w14:paraId="5D78AFD5">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ENCHIMENTO DO COLARINHO</w:t>
      </w:r>
    </w:p>
    <w:p w14:paraId="79FE6EB1">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REFORÇO DA FRENTE</w:t>
      </w:r>
    </w:p>
    <w:p w14:paraId="30E98738">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REFORÇO TRASEIRO</w:t>
      </w:r>
    </w:p>
    <w:p w14:paraId="09F54032">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ATACADOR</w:t>
      </w:r>
    </w:p>
    <w:p w14:paraId="20AC7144">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PALMILHA DE MONTAGEM</w:t>
      </w:r>
    </w:p>
    <w:p w14:paraId="26E0AA48">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PALMILHA DE ACABAMENTO</w:t>
      </w:r>
    </w:p>
    <w:p w14:paraId="7C0202C9">
      <w:pPr>
        <w:pStyle w:val="36"/>
        <w:spacing w:line="360" w:lineRule="auto"/>
        <w:ind w:firstLine="708"/>
        <w:jc w:val="both"/>
        <w:rPr>
          <w:rFonts w:ascii="Arial" w:hAnsi="Arial" w:eastAsia="Times New Roman" w:cs="Arial"/>
          <w:sz w:val="24"/>
          <w:szCs w:val="24"/>
          <w:lang w:eastAsia="pt-BR"/>
        </w:rPr>
      </w:pPr>
      <w:r>
        <w:rPr>
          <w:rFonts w:ascii="Arial" w:hAnsi="Arial" w:eastAsia="Times New Roman" w:cs="Arial"/>
          <w:sz w:val="24"/>
          <w:szCs w:val="24"/>
          <w:lang w:eastAsia="pt-BR"/>
        </w:rPr>
        <w:tab/>
      </w:r>
    </w:p>
    <w:p w14:paraId="37EE4B74">
      <w:pPr>
        <w:pStyle w:val="36"/>
        <w:numPr>
          <w:ilvl w:val="0"/>
          <w:numId w:val="14"/>
        </w:numPr>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COMPENTES ESPECÍFICOS DO SOLADO</w:t>
      </w:r>
    </w:p>
    <w:p w14:paraId="4BD1604E">
      <w:pPr>
        <w:pStyle w:val="36"/>
        <w:spacing w:line="360" w:lineRule="auto"/>
        <w:ind w:left="720"/>
        <w:jc w:val="both"/>
        <w:rPr>
          <w:rFonts w:ascii="Arial" w:hAnsi="Arial" w:eastAsia="Times New Roman" w:cs="Arial"/>
          <w:sz w:val="24"/>
          <w:szCs w:val="24"/>
          <w:lang w:eastAsia="pt-BR"/>
        </w:rPr>
      </w:pPr>
      <w:r>
        <w:rPr>
          <w:rFonts w:ascii="Arial" w:hAnsi="Arial" w:eastAsia="Times New Roman" w:cs="Arial"/>
          <w:sz w:val="24"/>
          <w:szCs w:val="24"/>
          <w:lang w:eastAsia="pt-BR"/>
        </w:rPr>
        <w:t>ENTRESSOLA</w:t>
      </w:r>
    </w:p>
    <w:p w14:paraId="041A3252">
      <w:pPr>
        <w:pStyle w:val="36"/>
        <w:spacing w:line="360" w:lineRule="auto"/>
        <w:ind w:left="720"/>
        <w:jc w:val="both"/>
        <w:rPr>
          <w:rFonts w:ascii="Arial" w:hAnsi="Arial" w:eastAsia="Times New Roman" w:cs="Arial"/>
          <w:sz w:val="24"/>
          <w:szCs w:val="24"/>
          <w:lang w:eastAsia="pt-BR"/>
        </w:rPr>
      </w:pPr>
      <w:r>
        <w:rPr>
          <w:rFonts w:ascii="Arial" w:hAnsi="Arial" w:eastAsia="Times New Roman" w:cs="Arial"/>
          <w:sz w:val="24"/>
          <w:szCs w:val="24"/>
          <w:lang w:eastAsia="pt-BR"/>
        </w:rPr>
        <w:t>SOLETA</w:t>
      </w:r>
    </w:p>
    <w:p w14:paraId="074F2623">
      <w:pPr>
        <w:pStyle w:val="36"/>
        <w:spacing w:line="360" w:lineRule="auto"/>
        <w:ind w:left="720"/>
        <w:jc w:val="both"/>
        <w:rPr>
          <w:rFonts w:ascii="Arial" w:hAnsi="Arial" w:eastAsia="Times New Roman" w:cs="Arial"/>
          <w:sz w:val="24"/>
          <w:szCs w:val="24"/>
          <w:lang w:eastAsia="pt-BR"/>
        </w:rPr>
      </w:pPr>
    </w:p>
    <w:p w14:paraId="7C093340">
      <w:pPr>
        <w:pStyle w:val="36"/>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Especificações detalhadas de cada componente do produto:</w:t>
      </w:r>
    </w:p>
    <w:p w14:paraId="05CC001E">
      <w:pPr>
        <w:pStyle w:val="36"/>
        <w:spacing w:line="360" w:lineRule="auto"/>
        <w:jc w:val="both"/>
        <w:rPr>
          <w:rFonts w:ascii="Arial" w:hAnsi="Arial" w:eastAsia="Times New Roman" w:cs="Arial"/>
          <w:sz w:val="24"/>
          <w:szCs w:val="24"/>
          <w:lang w:eastAsia="pt-BR"/>
        </w:rPr>
      </w:pPr>
    </w:p>
    <w:p w14:paraId="7E2D2808">
      <w:pPr>
        <w:pStyle w:val="36"/>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A – CABEDAL</w:t>
      </w:r>
    </w:p>
    <w:p w14:paraId="492CE556">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GÁSPEA -</w:t>
      </w:r>
      <w:r>
        <w:rPr>
          <w:rFonts w:ascii="Arial" w:hAnsi="Arial" w:eastAsia="Times New Roman" w:cs="Arial"/>
          <w:sz w:val="24"/>
          <w:szCs w:val="24"/>
          <w:lang w:eastAsia="pt-BR"/>
        </w:rPr>
        <w:t xml:space="preserve"> Peça superior confeccionada a partir de nylon dupla frontura (tipo smash) na cor Preta, dublado com manta não tecido poliester, leva também aplicação de laminado pvc, na cor Preta pelo processo de  silkscreen e solda eletrônica em alta frequência.</w:t>
      </w:r>
    </w:p>
    <w:p w14:paraId="3BCAF627">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FRENTE -</w:t>
      </w:r>
      <w:r>
        <w:rPr>
          <w:rFonts w:ascii="Arial" w:hAnsi="Arial" w:eastAsia="Times New Roman" w:cs="Arial"/>
          <w:sz w:val="24"/>
          <w:szCs w:val="24"/>
          <w:lang w:eastAsia="pt-BR"/>
        </w:rPr>
        <w:t xml:space="preserve"> Peça frontal constituída de laminado PVC na cor Preta.</w:t>
      </w:r>
    </w:p>
    <w:p w14:paraId="09DB5E4F">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TALONEIRA -</w:t>
      </w:r>
      <w:r>
        <w:rPr>
          <w:rFonts w:ascii="Arial" w:hAnsi="Arial" w:eastAsia="Times New Roman" w:cs="Arial"/>
          <w:sz w:val="24"/>
          <w:szCs w:val="24"/>
          <w:lang w:eastAsia="pt-BR"/>
        </w:rPr>
        <w:t xml:space="preserve"> Peça traseira constituída de laminado sintético PVC na cor Preta.</w:t>
      </w:r>
    </w:p>
    <w:p w14:paraId="0C031DD7">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LATERAL -</w:t>
      </w:r>
      <w:r>
        <w:rPr>
          <w:rFonts w:ascii="Arial" w:hAnsi="Arial" w:eastAsia="Times New Roman" w:cs="Arial"/>
          <w:sz w:val="24"/>
          <w:szCs w:val="24"/>
          <w:lang w:eastAsia="pt-BR"/>
        </w:rPr>
        <w:t xml:space="preserve"> Peça superior aplicada a partir de laminado sintético PVC na cor Preta com acabamento pelo processo de silkscreen e solda eletrônica em alta frequência nas cores Laranja e Branca.</w:t>
      </w:r>
    </w:p>
    <w:p w14:paraId="30C0B2D4">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REFORÇO DA GÁSPEA</w:t>
      </w:r>
      <w:r>
        <w:rPr>
          <w:rFonts w:ascii="Arial" w:hAnsi="Arial" w:eastAsia="Times New Roman" w:cs="Arial"/>
          <w:sz w:val="24"/>
          <w:szCs w:val="24"/>
          <w:lang w:eastAsia="pt-BR"/>
        </w:rPr>
        <w:t xml:space="preserve"> - Peça interna central constituída de não tecido poliéster com fibras tratadas, na cor Preta.</w:t>
      </w:r>
    </w:p>
    <w:p w14:paraId="6B992CE8">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LINGUETA</w:t>
      </w:r>
      <w:r>
        <w:rPr>
          <w:rFonts w:ascii="Arial" w:hAnsi="Arial" w:eastAsia="Times New Roman" w:cs="Arial"/>
          <w:sz w:val="24"/>
          <w:szCs w:val="24"/>
          <w:lang w:eastAsia="pt-BR"/>
        </w:rPr>
        <w:t xml:space="preserve"> - Peça superior externa constituída de nylon dupla frontura (tipo smash) na cor Preto, dublado com não tecido. Com aplicação de etiqueta constituída de laminado PVC com acabamento em silk screen e solda eletrônica (conforme arte definida pelo órgão requisitante). </w:t>
      </w:r>
    </w:p>
    <w:p w14:paraId="737E62DD">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FORRO DA LINGUETA</w:t>
      </w:r>
      <w:r>
        <w:rPr>
          <w:rFonts w:ascii="Arial" w:hAnsi="Arial" w:eastAsia="Times New Roman" w:cs="Arial"/>
          <w:sz w:val="24"/>
          <w:szCs w:val="24"/>
          <w:lang w:eastAsia="pt-BR"/>
        </w:rPr>
        <w:t xml:space="preserve"> - Peça interna constituída de tecido poliéster tipo favo com brilho na cor Preta, dublado com espuma de poliuretano.</w:t>
      </w:r>
    </w:p>
    <w:p w14:paraId="6CFDAFC2">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ENCHIMENTO DA LINGUETA -</w:t>
      </w:r>
      <w:r>
        <w:rPr>
          <w:rFonts w:ascii="Arial" w:hAnsi="Arial" w:eastAsia="Times New Roman" w:cs="Arial"/>
          <w:sz w:val="24"/>
          <w:szCs w:val="24"/>
          <w:lang w:eastAsia="pt-BR"/>
        </w:rPr>
        <w:t xml:space="preserve"> Peça interna constituída espuma de poliuretano na cor natural.</w:t>
      </w:r>
    </w:p>
    <w:p w14:paraId="265D374F">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FORRO DO COLARINHO -</w:t>
      </w:r>
      <w:r>
        <w:rPr>
          <w:rFonts w:ascii="Arial" w:hAnsi="Arial" w:eastAsia="Times New Roman" w:cs="Arial"/>
          <w:sz w:val="24"/>
          <w:szCs w:val="24"/>
          <w:lang w:eastAsia="pt-BR"/>
        </w:rPr>
        <w:t xml:space="preserve"> Peça interna constituída de tecido poliéster tipo favo com brilho na cor Preta, dublado com espuma de poliuretano.</w:t>
      </w:r>
    </w:p>
    <w:p w14:paraId="123EF5C5">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ENCHIMENTO DO COLARINHO -</w:t>
      </w:r>
      <w:r>
        <w:rPr>
          <w:rFonts w:ascii="Arial" w:hAnsi="Arial" w:eastAsia="Times New Roman" w:cs="Arial"/>
          <w:sz w:val="24"/>
          <w:szCs w:val="24"/>
          <w:lang w:eastAsia="pt-BR"/>
        </w:rPr>
        <w:t xml:space="preserve"> Peça interna constituída espuma de poliuretano na cor natural.</w:t>
      </w:r>
    </w:p>
    <w:p w14:paraId="5ADC3F1E">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REFORÇO DA FRENTE -</w:t>
      </w:r>
      <w:r>
        <w:rPr>
          <w:rFonts w:ascii="Arial" w:hAnsi="Arial" w:eastAsia="Times New Roman" w:cs="Arial"/>
          <w:sz w:val="24"/>
          <w:szCs w:val="24"/>
          <w:lang w:eastAsia="pt-BR"/>
        </w:rPr>
        <w:t xml:space="preserve"> Peça frontal interna constituída de resinas termoplásticas dublada com não tecido, aplicada pelo processo termo transferível.</w:t>
      </w:r>
    </w:p>
    <w:p w14:paraId="79AE0886">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REFORÇO TRASEIRO -</w:t>
      </w:r>
      <w:r>
        <w:rPr>
          <w:rFonts w:ascii="Arial" w:hAnsi="Arial" w:eastAsia="Times New Roman" w:cs="Arial"/>
          <w:sz w:val="24"/>
          <w:szCs w:val="24"/>
          <w:lang w:eastAsia="pt-BR"/>
        </w:rPr>
        <w:t xml:space="preserve"> Peça traseira interna constituída de resinas termoplásticas, aplicada pelo processo termo transferível.</w:t>
      </w:r>
    </w:p>
    <w:p w14:paraId="5972C168">
      <w:pPr>
        <w:spacing w:line="360" w:lineRule="auto"/>
        <w:jc w:val="both"/>
        <w:rPr>
          <w:rFonts w:ascii="Arial" w:hAnsi="Arial" w:cs="Arial"/>
          <w:sz w:val="24"/>
          <w:szCs w:val="24"/>
          <w:lang w:eastAsia="pt-BR"/>
        </w:rPr>
      </w:pPr>
      <w:r>
        <w:rPr>
          <w:rFonts w:ascii="Arial" w:hAnsi="Arial" w:cs="Arial"/>
          <w:b/>
          <w:sz w:val="24"/>
          <w:szCs w:val="24"/>
          <w:lang w:eastAsia="pt-BR"/>
        </w:rPr>
        <w:t>ATACADOR -</w:t>
      </w:r>
      <w:r>
        <w:rPr>
          <w:rFonts w:ascii="Arial" w:hAnsi="Arial" w:cs="Arial"/>
          <w:sz w:val="24"/>
          <w:szCs w:val="24"/>
          <w:lang w:eastAsia="pt-BR"/>
        </w:rPr>
        <w:t xml:space="preserve"> peça superior externa constituída de fios de poliéster trançados formato redondo meia cana (tipo chinês) na cor preta.</w:t>
      </w:r>
    </w:p>
    <w:p w14:paraId="22729623">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PALMILHA DE MONTAGEM -</w:t>
      </w:r>
      <w:r>
        <w:rPr>
          <w:rFonts w:ascii="Arial" w:hAnsi="Arial" w:eastAsia="Times New Roman" w:cs="Arial"/>
          <w:sz w:val="24"/>
          <w:szCs w:val="24"/>
          <w:lang w:eastAsia="pt-BR"/>
        </w:rPr>
        <w:t xml:space="preserve"> peça interna inferior constituída de não tecido poliéster reforçado por costuras, na cor preta ou branca.</w:t>
      </w:r>
    </w:p>
    <w:p w14:paraId="2E25E0D4">
      <w:pPr>
        <w:pStyle w:val="36"/>
        <w:spacing w:line="360" w:lineRule="auto"/>
        <w:jc w:val="both"/>
        <w:rPr>
          <w:rFonts w:ascii="Arial" w:hAnsi="Arial" w:eastAsia="Times New Roman" w:cs="Arial"/>
          <w:sz w:val="24"/>
          <w:szCs w:val="24"/>
          <w:lang w:eastAsia="pt-BR"/>
        </w:rPr>
      </w:pPr>
      <w:r>
        <w:rPr>
          <w:rFonts w:ascii="Arial" w:hAnsi="Arial" w:cs="Arial"/>
          <w:b/>
          <w:sz w:val="24"/>
          <w:szCs w:val="24"/>
          <w:lang w:eastAsia="pt-BR"/>
        </w:rPr>
        <w:t>PALMILHA DE ACABAMENTO -</w:t>
      </w:r>
      <w:r>
        <w:rPr>
          <w:rFonts w:ascii="Arial" w:hAnsi="Arial" w:cs="Arial"/>
          <w:sz w:val="24"/>
          <w:szCs w:val="24"/>
          <w:lang w:eastAsia="pt-BR"/>
        </w:rPr>
        <w:t xml:space="preserve"> peça interna constituída de EVA termo conformado, dublado com tecido poliéster na cor preta ou branca com silkscreen contendo a numeração. Função: aumento do conforto, amortecimento de impacto, auxilio na absorção de suor, este item é móvel e pode ser removido a qualquer momento para higienização e limpeza.</w:t>
      </w:r>
    </w:p>
    <w:p w14:paraId="7E2EFC74">
      <w:pPr>
        <w:pStyle w:val="36"/>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B – SOLADO</w:t>
      </w:r>
    </w:p>
    <w:p w14:paraId="6DF76730">
      <w:pPr>
        <w:pStyle w:val="36"/>
        <w:spacing w:line="360" w:lineRule="auto"/>
        <w:jc w:val="both"/>
        <w:rPr>
          <w:rFonts w:ascii="Arial" w:hAnsi="Arial" w:eastAsia="Times New Roman" w:cs="Arial"/>
          <w:sz w:val="24"/>
          <w:szCs w:val="24"/>
          <w:lang w:eastAsia="pt-BR"/>
        </w:rPr>
      </w:pPr>
      <w:r>
        <w:rPr>
          <w:rFonts w:ascii="Arial" w:hAnsi="Arial" w:eastAsia="Times New Roman" w:cs="Arial"/>
          <w:b/>
          <w:sz w:val="24"/>
          <w:szCs w:val="24"/>
          <w:lang w:eastAsia="pt-BR"/>
        </w:rPr>
        <w:t>SOLADO:</w:t>
      </w:r>
      <w:r>
        <w:rPr>
          <w:rFonts w:ascii="Arial" w:hAnsi="Arial" w:eastAsia="Times New Roman" w:cs="Arial"/>
          <w:sz w:val="24"/>
          <w:szCs w:val="24"/>
          <w:lang w:eastAsia="pt-BR"/>
        </w:rPr>
        <w:t xml:space="preserve"> O solado por ser uma item de “vital” essência para a existência do produto pronto ele será subdivido da seguinte forma: matéria prima e desenho estratégico.</w:t>
      </w:r>
    </w:p>
    <w:p w14:paraId="46F53DF2">
      <w:pPr>
        <w:pStyle w:val="36"/>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MATÉRIA PRIMA</w:t>
      </w:r>
    </w:p>
    <w:p w14:paraId="49563DFC">
      <w:pPr>
        <w:spacing w:line="360" w:lineRule="auto"/>
        <w:jc w:val="both"/>
        <w:rPr>
          <w:rFonts w:ascii="Arial" w:hAnsi="Arial" w:cs="Arial"/>
          <w:sz w:val="24"/>
          <w:szCs w:val="24"/>
          <w:lang w:eastAsia="pt-BR"/>
        </w:rPr>
      </w:pPr>
      <w:r>
        <w:rPr>
          <w:rFonts w:ascii="Arial" w:hAnsi="Arial" w:cs="Arial"/>
          <w:sz w:val="24"/>
          <w:szCs w:val="24"/>
          <w:lang w:eastAsia="pt-BR"/>
        </w:rPr>
        <w:t>Para maior durabilidade e segurança ao usuário o solado é dividido conforme abaixo:</w:t>
      </w:r>
    </w:p>
    <w:p w14:paraId="459F3234">
      <w:pPr>
        <w:spacing w:before="100" w:after="200" w:line="360" w:lineRule="auto"/>
        <w:jc w:val="both"/>
        <w:rPr>
          <w:rFonts w:ascii="Arial" w:hAnsi="Arial" w:cs="Arial"/>
          <w:sz w:val="24"/>
          <w:szCs w:val="24"/>
          <w:lang w:eastAsia="pt-BR"/>
        </w:rPr>
      </w:pPr>
      <w:r>
        <w:rPr>
          <w:rFonts w:ascii="Arial" w:hAnsi="Arial" w:cs="Arial"/>
          <w:b/>
          <w:sz w:val="24"/>
          <w:szCs w:val="24"/>
          <w:lang w:eastAsia="pt-BR"/>
        </w:rPr>
        <w:t>ENTRESSOLA</w:t>
      </w:r>
      <w:r>
        <w:rPr>
          <w:rFonts w:ascii="Arial" w:hAnsi="Arial" w:cs="Arial"/>
          <w:sz w:val="24"/>
          <w:szCs w:val="24"/>
          <w:lang w:eastAsia="pt-BR"/>
        </w:rPr>
        <w:t xml:space="preserve"> deverá ser composto por peça superior constituída de composto PVC micro expandido (monodensidade) na cor Preta, com ranhuras e canaletas na lateral. </w:t>
      </w:r>
    </w:p>
    <w:p w14:paraId="7F594B17">
      <w:pPr>
        <w:spacing w:before="100" w:after="200" w:line="360" w:lineRule="auto"/>
        <w:jc w:val="both"/>
        <w:rPr>
          <w:rFonts w:ascii="Arial" w:hAnsi="Arial" w:cs="Arial"/>
          <w:sz w:val="24"/>
          <w:szCs w:val="24"/>
          <w:lang w:eastAsia="pt-BR"/>
        </w:rPr>
      </w:pPr>
      <w:r>
        <w:rPr>
          <w:rFonts w:ascii="Arial" w:hAnsi="Arial" w:cs="Arial"/>
          <w:b/>
          <w:sz w:val="24"/>
          <w:szCs w:val="24"/>
          <w:lang w:eastAsia="pt-BR"/>
        </w:rPr>
        <w:t>SOLETA</w:t>
      </w:r>
      <w:r>
        <w:rPr>
          <w:rFonts w:ascii="Arial" w:hAnsi="Arial" w:cs="Arial"/>
          <w:sz w:val="24"/>
          <w:szCs w:val="24"/>
          <w:lang w:eastAsia="pt-BR"/>
        </w:rPr>
        <w:t xml:space="preserve"> peça inferior constituída de composto termoplástico de alta abrasão na cor preta, unida a entressola pelo processo denominado insertado. Deverá conter sulcos para escoação de água e sujeiras, e assim melhor aderência  com desenho antiderrapante em toda parte que vai em contato com chão auxiliando no caminhar. </w:t>
      </w:r>
    </w:p>
    <w:p w14:paraId="1FA29DA1">
      <w:pPr>
        <w:pStyle w:val="36"/>
        <w:spacing w:line="360" w:lineRule="auto"/>
        <w:jc w:val="both"/>
        <w:rPr>
          <w:rFonts w:ascii="Arial" w:hAnsi="Arial" w:eastAsia="Times New Roman" w:cs="Arial"/>
          <w:sz w:val="24"/>
          <w:szCs w:val="24"/>
          <w:lang w:eastAsia="pt-BR"/>
        </w:rPr>
      </w:pPr>
    </w:p>
    <w:p w14:paraId="3C85EF19">
      <w:pPr>
        <w:pStyle w:val="36"/>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DESENHO ESTRATÉGICO</w:t>
      </w:r>
    </w:p>
    <w:p w14:paraId="6B245591">
      <w:pPr>
        <w:pStyle w:val="36"/>
        <w:spacing w:line="360" w:lineRule="auto"/>
        <w:jc w:val="both"/>
        <w:rPr>
          <w:rFonts w:ascii="Arial" w:hAnsi="Arial" w:eastAsia="Times New Roman" w:cs="Arial"/>
          <w:sz w:val="24"/>
          <w:szCs w:val="24"/>
          <w:lang w:eastAsia="pt-BR"/>
        </w:rPr>
      </w:pPr>
      <w:r>
        <w:rPr>
          <w:rFonts w:ascii="Arial" w:hAnsi="Arial" w:eastAsia="Times New Roman" w:cs="Arial"/>
          <w:sz w:val="24"/>
          <w:szCs w:val="24"/>
          <w:lang w:eastAsia="pt-BR"/>
        </w:rPr>
        <w:t>Na parte inferior do solado deverá conter desenhos relevantes a trazer maior segurança, estabilidade e durabilidade ao produto. No desenho deverá conter cravos para melhor se fixar ao solo e ainda deverá canais ante derrapantes e afim de evitar acúmulo de sujeira e pedras.</w:t>
      </w:r>
    </w:p>
    <w:p w14:paraId="48BC0FE6">
      <w:pPr>
        <w:pStyle w:val="36"/>
        <w:spacing w:line="360" w:lineRule="auto"/>
        <w:jc w:val="both"/>
        <w:rPr>
          <w:rFonts w:ascii="Arial" w:hAnsi="Arial" w:eastAsia="Times New Roman" w:cs="Arial"/>
          <w:sz w:val="24"/>
          <w:szCs w:val="24"/>
          <w:lang w:eastAsia="pt-BR"/>
        </w:rPr>
      </w:pPr>
    </w:p>
    <w:p w14:paraId="6BF38C84">
      <w:pPr>
        <w:pStyle w:val="36"/>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DISPOSIÇÕES GERAIS</w:t>
      </w:r>
    </w:p>
    <w:p w14:paraId="55B101C3">
      <w:pPr>
        <w:pStyle w:val="36"/>
        <w:spacing w:line="360" w:lineRule="auto"/>
        <w:jc w:val="both"/>
        <w:rPr>
          <w:rFonts w:ascii="Arial" w:hAnsi="Arial" w:eastAsia="Times New Roman" w:cs="Arial"/>
          <w:sz w:val="24"/>
          <w:szCs w:val="24"/>
          <w:lang w:eastAsia="pt-BR"/>
        </w:rPr>
      </w:pPr>
      <w:r>
        <w:rPr>
          <w:rFonts w:ascii="Arial" w:hAnsi="Arial" w:eastAsia="Times New Roman" w:cs="Arial"/>
          <w:sz w:val="24"/>
          <w:szCs w:val="24"/>
          <w:lang w:eastAsia="pt-BR"/>
        </w:rPr>
        <w:t>Ao fabricante cabe a responsabilidade de aplicar na língua o brasão de armas do cliente, na região da língua, item este a ser fornecido pelo “setor responsável ”.</w:t>
      </w:r>
    </w:p>
    <w:p w14:paraId="029D8929">
      <w:pPr>
        <w:pStyle w:val="36"/>
        <w:spacing w:line="360" w:lineRule="auto"/>
        <w:jc w:val="both"/>
        <w:rPr>
          <w:rFonts w:ascii="Arial" w:hAnsi="Arial" w:eastAsia="Times New Roman" w:cs="Arial"/>
          <w:sz w:val="24"/>
          <w:szCs w:val="24"/>
          <w:lang w:eastAsia="pt-BR"/>
        </w:rPr>
      </w:pPr>
      <w:r>
        <w:rPr>
          <w:rFonts w:ascii="Arial" w:hAnsi="Arial" w:eastAsia="Times New Roman" w:cs="Arial"/>
          <w:sz w:val="24"/>
          <w:szCs w:val="24"/>
          <w:lang w:eastAsia="pt-BR"/>
        </w:rPr>
        <w:t>Conforme mencionado anteriormente os produtos deverão ser fabricados de acordo com a tabela de Escala Francesa.</w:t>
      </w:r>
    </w:p>
    <w:p w14:paraId="4D3B5551">
      <w:pPr>
        <w:pStyle w:val="36"/>
        <w:spacing w:line="360" w:lineRule="auto"/>
        <w:jc w:val="both"/>
        <w:rPr>
          <w:rFonts w:ascii="Arial" w:hAnsi="Arial" w:eastAsia="Times New Roman" w:cs="Arial"/>
          <w:sz w:val="24"/>
          <w:szCs w:val="24"/>
          <w:lang w:eastAsia="pt-BR"/>
        </w:rPr>
      </w:pPr>
    </w:p>
    <w:tbl>
      <w:tblPr>
        <w:tblStyle w:val="7"/>
        <w:tblW w:w="4003" w:type="dxa"/>
        <w:jc w:val="center"/>
        <w:tblLayout w:type="autofit"/>
        <w:tblCellMar>
          <w:top w:w="0" w:type="dxa"/>
          <w:left w:w="70" w:type="dxa"/>
          <w:bottom w:w="0" w:type="dxa"/>
          <w:right w:w="70" w:type="dxa"/>
        </w:tblCellMar>
      </w:tblPr>
      <w:tblGrid>
        <w:gridCol w:w="1701"/>
        <w:gridCol w:w="2302"/>
      </w:tblGrid>
      <w:tr w14:paraId="5B91CC99">
        <w:tblPrEx>
          <w:tblCellMar>
            <w:top w:w="0" w:type="dxa"/>
            <w:left w:w="70" w:type="dxa"/>
            <w:bottom w:w="0" w:type="dxa"/>
            <w:right w:w="70" w:type="dxa"/>
          </w:tblCellMar>
        </w:tblPrEx>
        <w:trPr>
          <w:trHeight w:val="60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844F5F0">
            <w:pPr>
              <w:spacing w:line="360" w:lineRule="auto"/>
              <w:jc w:val="center"/>
              <w:rPr>
                <w:rFonts w:ascii="Arial" w:hAnsi="Arial" w:cs="Arial"/>
                <w:sz w:val="24"/>
                <w:szCs w:val="24"/>
                <w:lang w:eastAsia="pt-BR"/>
              </w:rPr>
            </w:pPr>
            <w:r>
              <w:rPr>
                <w:rFonts w:ascii="Arial" w:hAnsi="Arial" w:cs="Arial"/>
                <w:sz w:val="24"/>
                <w:szCs w:val="24"/>
                <w:lang w:eastAsia="pt-BR"/>
              </w:rPr>
              <w:t>NUMERAÇÃO</w:t>
            </w:r>
          </w:p>
        </w:tc>
        <w:tc>
          <w:tcPr>
            <w:tcW w:w="2302" w:type="dxa"/>
            <w:tcBorders>
              <w:top w:val="single" w:color="auto" w:sz="4" w:space="0"/>
              <w:left w:val="nil"/>
              <w:bottom w:val="single" w:color="auto" w:sz="4" w:space="0"/>
              <w:right w:val="single" w:color="auto" w:sz="4" w:space="0"/>
            </w:tcBorders>
            <w:shd w:val="clear" w:color="auto" w:fill="auto"/>
            <w:vAlign w:val="center"/>
          </w:tcPr>
          <w:p w14:paraId="089BFF83">
            <w:pPr>
              <w:spacing w:line="360" w:lineRule="auto"/>
              <w:jc w:val="center"/>
              <w:rPr>
                <w:rFonts w:ascii="Arial" w:hAnsi="Arial" w:cs="Arial"/>
                <w:sz w:val="24"/>
                <w:szCs w:val="24"/>
                <w:lang w:eastAsia="pt-BR"/>
              </w:rPr>
            </w:pPr>
            <w:r>
              <w:rPr>
                <w:rFonts w:ascii="Arial" w:hAnsi="Arial" w:cs="Arial"/>
                <w:sz w:val="24"/>
                <w:szCs w:val="24"/>
                <w:lang w:eastAsia="pt-BR"/>
              </w:rPr>
              <w:t>COMPRIM. (CM)</w:t>
            </w:r>
          </w:p>
        </w:tc>
      </w:tr>
      <w:tr w14:paraId="0FB3D354">
        <w:tblPrEx>
          <w:tblCellMar>
            <w:top w:w="0" w:type="dxa"/>
            <w:left w:w="70" w:type="dxa"/>
            <w:bottom w:w="0" w:type="dxa"/>
            <w:right w:w="70" w:type="dxa"/>
          </w:tblCellMar>
        </w:tblPrEx>
        <w:trPr>
          <w:trHeight w:val="30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0362E0E1">
            <w:pPr>
              <w:spacing w:line="360" w:lineRule="auto"/>
              <w:jc w:val="center"/>
              <w:rPr>
                <w:rFonts w:ascii="Arial" w:hAnsi="Arial" w:cs="Arial"/>
                <w:sz w:val="24"/>
                <w:szCs w:val="24"/>
                <w:lang w:eastAsia="pt-BR"/>
              </w:rPr>
            </w:pPr>
            <w:r>
              <w:rPr>
                <w:rFonts w:ascii="Arial" w:hAnsi="Arial" w:cs="Arial"/>
                <w:sz w:val="24"/>
                <w:szCs w:val="24"/>
                <w:lang w:eastAsia="pt-BR"/>
              </w:rPr>
              <w:t>18</w:t>
            </w:r>
          </w:p>
        </w:tc>
        <w:tc>
          <w:tcPr>
            <w:tcW w:w="2302" w:type="dxa"/>
            <w:tcBorders>
              <w:top w:val="nil"/>
              <w:left w:val="nil"/>
              <w:bottom w:val="single" w:color="auto" w:sz="4" w:space="0"/>
              <w:right w:val="single" w:color="auto" w:sz="4" w:space="0"/>
            </w:tcBorders>
            <w:shd w:val="clear" w:color="auto" w:fill="auto"/>
            <w:vAlign w:val="center"/>
          </w:tcPr>
          <w:p w14:paraId="0359BC4F">
            <w:pPr>
              <w:spacing w:line="360" w:lineRule="auto"/>
              <w:jc w:val="center"/>
              <w:rPr>
                <w:rFonts w:ascii="Arial" w:hAnsi="Arial" w:cs="Arial"/>
                <w:sz w:val="24"/>
                <w:szCs w:val="24"/>
                <w:lang w:eastAsia="pt-BR"/>
              </w:rPr>
            </w:pPr>
            <w:r>
              <w:rPr>
                <w:rFonts w:ascii="Arial" w:hAnsi="Arial" w:cs="Arial"/>
                <w:sz w:val="24"/>
                <w:szCs w:val="24"/>
                <w:lang w:eastAsia="pt-BR"/>
              </w:rPr>
              <w:t>11,99</w:t>
            </w:r>
          </w:p>
        </w:tc>
      </w:tr>
      <w:tr w14:paraId="2D9A2476">
        <w:tblPrEx>
          <w:tblCellMar>
            <w:top w:w="0" w:type="dxa"/>
            <w:left w:w="70" w:type="dxa"/>
            <w:bottom w:w="0" w:type="dxa"/>
            <w:right w:w="70" w:type="dxa"/>
          </w:tblCellMar>
        </w:tblPrEx>
        <w:trPr>
          <w:trHeight w:val="30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00BEED2D">
            <w:pPr>
              <w:spacing w:line="360" w:lineRule="auto"/>
              <w:jc w:val="center"/>
              <w:rPr>
                <w:rFonts w:ascii="Arial" w:hAnsi="Arial" w:cs="Arial"/>
                <w:sz w:val="24"/>
                <w:szCs w:val="24"/>
                <w:lang w:eastAsia="pt-BR"/>
              </w:rPr>
            </w:pPr>
            <w:r>
              <w:rPr>
                <w:rFonts w:ascii="Arial" w:hAnsi="Arial" w:cs="Arial"/>
                <w:sz w:val="24"/>
                <w:szCs w:val="24"/>
                <w:lang w:eastAsia="pt-BR"/>
              </w:rPr>
              <w:t>19</w:t>
            </w:r>
          </w:p>
        </w:tc>
        <w:tc>
          <w:tcPr>
            <w:tcW w:w="2302" w:type="dxa"/>
            <w:tcBorders>
              <w:top w:val="nil"/>
              <w:left w:val="nil"/>
              <w:bottom w:val="single" w:color="auto" w:sz="4" w:space="0"/>
              <w:right w:val="single" w:color="auto" w:sz="4" w:space="0"/>
            </w:tcBorders>
            <w:shd w:val="clear" w:color="auto" w:fill="auto"/>
            <w:vAlign w:val="center"/>
          </w:tcPr>
          <w:p w14:paraId="379D788B">
            <w:pPr>
              <w:spacing w:line="360" w:lineRule="auto"/>
              <w:jc w:val="center"/>
              <w:rPr>
                <w:rFonts w:ascii="Arial" w:hAnsi="Arial" w:cs="Arial"/>
                <w:sz w:val="24"/>
                <w:szCs w:val="24"/>
                <w:lang w:eastAsia="pt-BR"/>
              </w:rPr>
            </w:pPr>
            <w:r>
              <w:rPr>
                <w:rFonts w:ascii="Arial" w:hAnsi="Arial" w:cs="Arial"/>
                <w:sz w:val="24"/>
                <w:szCs w:val="24"/>
                <w:lang w:eastAsia="pt-BR"/>
              </w:rPr>
              <w:t>12,66</w:t>
            </w:r>
          </w:p>
        </w:tc>
      </w:tr>
      <w:tr w14:paraId="7C7DABD3">
        <w:tblPrEx>
          <w:tblCellMar>
            <w:top w:w="0" w:type="dxa"/>
            <w:left w:w="70" w:type="dxa"/>
            <w:bottom w:w="0" w:type="dxa"/>
            <w:right w:w="70" w:type="dxa"/>
          </w:tblCellMar>
        </w:tblPrEx>
        <w:trPr>
          <w:trHeight w:val="30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0D758D33">
            <w:pPr>
              <w:spacing w:line="360" w:lineRule="auto"/>
              <w:jc w:val="center"/>
              <w:rPr>
                <w:rFonts w:ascii="Arial" w:hAnsi="Arial" w:cs="Arial"/>
                <w:sz w:val="24"/>
                <w:szCs w:val="24"/>
                <w:lang w:eastAsia="pt-BR"/>
              </w:rPr>
            </w:pPr>
            <w:r>
              <w:rPr>
                <w:rFonts w:ascii="Arial" w:hAnsi="Arial" w:cs="Arial"/>
                <w:sz w:val="24"/>
                <w:szCs w:val="24"/>
                <w:lang w:eastAsia="pt-BR"/>
              </w:rPr>
              <w:t>20</w:t>
            </w:r>
          </w:p>
        </w:tc>
        <w:tc>
          <w:tcPr>
            <w:tcW w:w="2302" w:type="dxa"/>
            <w:tcBorders>
              <w:top w:val="nil"/>
              <w:left w:val="nil"/>
              <w:bottom w:val="single" w:color="auto" w:sz="4" w:space="0"/>
              <w:right w:val="single" w:color="auto" w:sz="4" w:space="0"/>
            </w:tcBorders>
            <w:shd w:val="clear" w:color="auto" w:fill="auto"/>
            <w:vAlign w:val="center"/>
          </w:tcPr>
          <w:p w14:paraId="71B69832">
            <w:pPr>
              <w:spacing w:line="360" w:lineRule="auto"/>
              <w:jc w:val="center"/>
              <w:rPr>
                <w:rFonts w:ascii="Arial" w:hAnsi="Arial" w:cs="Arial"/>
                <w:sz w:val="24"/>
                <w:szCs w:val="24"/>
                <w:lang w:eastAsia="pt-BR"/>
              </w:rPr>
            </w:pPr>
            <w:r>
              <w:rPr>
                <w:rFonts w:ascii="Arial" w:hAnsi="Arial" w:cs="Arial"/>
                <w:sz w:val="24"/>
                <w:szCs w:val="24"/>
                <w:lang w:eastAsia="pt-BR"/>
              </w:rPr>
              <w:t>13,33</w:t>
            </w:r>
          </w:p>
        </w:tc>
      </w:tr>
      <w:tr w14:paraId="1C61E3CA">
        <w:tblPrEx>
          <w:tblCellMar>
            <w:top w:w="0" w:type="dxa"/>
            <w:left w:w="70" w:type="dxa"/>
            <w:bottom w:w="0" w:type="dxa"/>
            <w:right w:w="70" w:type="dxa"/>
          </w:tblCellMar>
        </w:tblPrEx>
        <w:trPr>
          <w:trHeight w:val="30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7C35AEDE">
            <w:pPr>
              <w:spacing w:line="360" w:lineRule="auto"/>
              <w:jc w:val="center"/>
              <w:rPr>
                <w:rFonts w:ascii="Arial" w:hAnsi="Arial" w:cs="Arial"/>
                <w:sz w:val="24"/>
                <w:szCs w:val="24"/>
                <w:lang w:eastAsia="pt-BR"/>
              </w:rPr>
            </w:pPr>
            <w:r>
              <w:rPr>
                <w:rFonts w:ascii="Arial" w:hAnsi="Arial" w:cs="Arial"/>
                <w:sz w:val="24"/>
                <w:szCs w:val="24"/>
                <w:lang w:eastAsia="pt-BR"/>
              </w:rPr>
              <w:t>21</w:t>
            </w:r>
          </w:p>
        </w:tc>
        <w:tc>
          <w:tcPr>
            <w:tcW w:w="2302" w:type="dxa"/>
            <w:tcBorders>
              <w:top w:val="nil"/>
              <w:left w:val="nil"/>
              <w:bottom w:val="single" w:color="auto" w:sz="4" w:space="0"/>
              <w:right w:val="single" w:color="auto" w:sz="4" w:space="0"/>
            </w:tcBorders>
            <w:shd w:val="clear" w:color="auto" w:fill="auto"/>
            <w:vAlign w:val="center"/>
          </w:tcPr>
          <w:p w14:paraId="3282662C">
            <w:pPr>
              <w:spacing w:line="360" w:lineRule="auto"/>
              <w:jc w:val="center"/>
              <w:rPr>
                <w:rFonts w:ascii="Arial" w:hAnsi="Arial" w:cs="Arial"/>
                <w:sz w:val="24"/>
                <w:szCs w:val="24"/>
                <w:lang w:eastAsia="pt-BR"/>
              </w:rPr>
            </w:pPr>
            <w:r>
              <w:rPr>
                <w:rFonts w:ascii="Arial" w:hAnsi="Arial" w:cs="Arial"/>
                <w:sz w:val="24"/>
                <w:szCs w:val="24"/>
                <w:lang w:eastAsia="pt-BR"/>
              </w:rPr>
              <w:t>13,99</w:t>
            </w:r>
          </w:p>
        </w:tc>
      </w:tr>
      <w:tr w14:paraId="5ABA4E23">
        <w:tblPrEx>
          <w:tblCellMar>
            <w:top w:w="0" w:type="dxa"/>
            <w:left w:w="70" w:type="dxa"/>
            <w:bottom w:w="0" w:type="dxa"/>
            <w:right w:w="70" w:type="dxa"/>
          </w:tblCellMar>
        </w:tblPrEx>
        <w:trPr>
          <w:trHeight w:val="30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726C6F08">
            <w:pPr>
              <w:spacing w:line="360" w:lineRule="auto"/>
              <w:jc w:val="center"/>
              <w:rPr>
                <w:rFonts w:ascii="Arial" w:hAnsi="Arial" w:cs="Arial"/>
                <w:sz w:val="24"/>
                <w:szCs w:val="24"/>
                <w:lang w:eastAsia="pt-BR"/>
              </w:rPr>
            </w:pPr>
            <w:r>
              <w:rPr>
                <w:rFonts w:ascii="Arial" w:hAnsi="Arial" w:cs="Arial"/>
                <w:sz w:val="24"/>
                <w:szCs w:val="24"/>
                <w:lang w:eastAsia="pt-BR"/>
              </w:rPr>
              <w:t>22</w:t>
            </w:r>
          </w:p>
        </w:tc>
        <w:tc>
          <w:tcPr>
            <w:tcW w:w="2302" w:type="dxa"/>
            <w:tcBorders>
              <w:top w:val="nil"/>
              <w:left w:val="nil"/>
              <w:bottom w:val="single" w:color="auto" w:sz="4" w:space="0"/>
              <w:right w:val="single" w:color="auto" w:sz="4" w:space="0"/>
            </w:tcBorders>
            <w:shd w:val="clear" w:color="auto" w:fill="auto"/>
            <w:vAlign w:val="center"/>
          </w:tcPr>
          <w:p w14:paraId="44EC7E04">
            <w:pPr>
              <w:spacing w:line="360" w:lineRule="auto"/>
              <w:jc w:val="center"/>
              <w:rPr>
                <w:rFonts w:ascii="Arial" w:hAnsi="Arial" w:cs="Arial"/>
                <w:sz w:val="24"/>
                <w:szCs w:val="24"/>
                <w:lang w:eastAsia="pt-BR"/>
              </w:rPr>
            </w:pPr>
            <w:r>
              <w:rPr>
                <w:rFonts w:ascii="Arial" w:hAnsi="Arial" w:cs="Arial"/>
                <w:sz w:val="24"/>
                <w:szCs w:val="24"/>
                <w:lang w:eastAsia="pt-BR"/>
              </w:rPr>
              <w:t>14,66</w:t>
            </w:r>
          </w:p>
        </w:tc>
      </w:tr>
      <w:tr w14:paraId="5F8D76DD">
        <w:tblPrEx>
          <w:tblCellMar>
            <w:top w:w="0" w:type="dxa"/>
            <w:left w:w="70" w:type="dxa"/>
            <w:bottom w:w="0" w:type="dxa"/>
            <w:right w:w="70" w:type="dxa"/>
          </w:tblCellMar>
        </w:tblPrEx>
        <w:trPr>
          <w:trHeight w:val="30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385483E9">
            <w:pPr>
              <w:spacing w:line="360" w:lineRule="auto"/>
              <w:jc w:val="center"/>
              <w:rPr>
                <w:rFonts w:ascii="Arial" w:hAnsi="Arial" w:cs="Arial"/>
                <w:sz w:val="24"/>
                <w:szCs w:val="24"/>
                <w:lang w:eastAsia="pt-BR"/>
              </w:rPr>
            </w:pPr>
            <w:r>
              <w:rPr>
                <w:rFonts w:ascii="Arial" w:hAnsi="Arial" w:cs="Arial"/>
                <w:sz w:val="24"/>
                <w:szCs w:val="24"/>
                <w:lang w:eastAsia="pt-BR"/>
              </w:rPr>
              <w:t>23</w:t>
            </w:r>
          </w:p>
        </w:tc>
        <w:tc>
          <w:tcPr>
            <w:tcW w:w="2302" w:type="dxa"/>
            <w:tcBorders>
              <w:top w:val="nil"/>
              <w:left w:val="nil"/>
              <w:bottom w:val="single" w:color="auto" w:sz="4" w:space="0"/>
              <w:right w:val="single" w:color="auto" w:sz="4" w:space="0"/>
            </w:tcBorders>
            <w:shd w:val="clear" w:color="auto" w:fill="auto"/>
            <w:vAlign w:val="center"/>
          </w:tcPr>
          <w:p w14:paraId="1D554A67">
            <w:pPr>
              <w:spacing w:line="360" w:lineRule="auto"/>
              <w:jc w:val="center"/>
              <w:rPr>
                <w:rFonts w:ascii="Arial" w:hAnsi="Arial" w:cs="Arial"/>
                <w:sz w:val="24"/>
                <w:szCs w:val="24"/>
                <w:lang w:eastAsia="pt-BR"/>
              </w:rPr>
            </w:pPr>
            <w:r>
              <w:rPr>
                <w:rFonts w:ascii="Arial" w:hAnsi="Arial" w:cs="Arial"/>
                <w:sz w:val="24"/>
                <w:szCs w:val="24"/>
                <w:lang w:eastAsia="pt-BR"/>
              </w:rPr>
              <w:t>15,33</w:t>
            </w:r>
          </w:p>
        </w:tc>
      </w:tr>
      <w:tr w14:paraId="4DAF8669">
        <w:tblPrEx>
          <w:tblCellMar>
            <w:top w:w="0" w:type="dxa"/>
            <w:left w:w="70" w:type="dxa"/>
            <w:bottom w:w="0" w:type="dxa"/>
            <w:right w:w="70" w:type="dxa"/>
          </w:tblCellMar>
        </w:tblPrEx>
        <w:trPr>
          <w:trHeight w:val="30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5115F2AC">
            <w:pPr>
              <w:spacing w:line="360" w:lineRule="auto"/>
              <w:jc w:val="center"/>
              <w:rPr>
                <w:rFonts w:ascii="Arial" w:hAnsi="Arial" w:cs="Arial"/>
                <w:sz w:val="24"/>
                <w:szCs w:val="24"/>
                <w:lang w:eastAsia="pt-BR"/>
              </w:rPr>
            </w:pPr>
            <w:r>
              <w:rPr>
                <w:rFonts w:ascii="Arial" w:hAnsi="Arial" w:cs="Arial"/>
                <w:sz w:val="24"/>
                <w:szCs w:val="24"/>
                <w:lang w:eastAsia="pt-BR"/>
              </w:rPr>
              <w:t>24</w:t>
            </w:r>
          </w:p>
        </w:tc>
        <w:tc>
          <w:tcPr>
            <w:tcW w:w="2302" w:type="dxa"/>
            <w:tcBorders>
              <w:top w:val="nil"/>
              <w:left w:val="nil"/>
              <w:bottom w:val="single" w:color="auto" w:sz="4" w:space="0"/>
              <w:right w:val="single" w:color="auto" w:sz="4" w:space="0"/>
            </w:tcBorders>
            <w:shd w:val="clear" w:color="auto" w:fill="auto"/>
            <w:vAlign w:val="center"/>
          </w:tcPr>
          <w:p w14:paraId="520B8A06">
            <w:pPr>
              <w:spacing w:line="360" w:lineRule="auto"/>
              <w:jc w:val="center"/>
              <w:rPr>
                <w:rFonts w:ascii="Arial" w:hAnsi="Arial" w:cs="Arial"/>
                <w:sz w:val="24"/>
                <w:szCs w:val="24"/>
                <w:lang w:eastAsia="pt-BR"/>
              </w:rPr>
            </w:pPr>
            <w:r>
              <w:rPr>
                <w:rFonts w:ascii="Arial" w:hAnsi="Arial" w:cs="Arial"/>
                <w:sz w:val="24"/>
                <w:szCs w:val="24"/>
                <w:lang w:eastAsia="pt-BR"/>
              </w:rPr>
              <w:t>15,99</w:t>
            </w:r>
          </w:p>
        </w:tc>
      </w:tr>
      <w:tr w14:paraId="066A3370">
        <w:tblPrEx>
          <w:tblCellMar>
            <w:top w:w="0" w:type="dxa"/>
            <w:left w:w="70" w:type="dxa"/>
            <w:bottom w:w="0" w:type="dxa"/>
            <w:right w:w="70" w:type="dxa"/>
          </w:tblCellMar>
        </w:tblPrEx>
        <w:trPr>
          <w:trHeight w:val="30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61C443FB">
            <w:pPr>
              <w:spacing w:line="360" w:lineRule="auto"/>
              <w:jc w:val="center"/>
              <w:rPr>
                <w:rFonts w:ascii="Arial" w:hAnsi="Arial" w:cs="Arial"/>
                <w:sz w:val="24"/>
                <w:szCs w:val="24"/>
                <w:lang w:eastAsia="pt-BR"/>
              </w:rPr>
            </w:pPr>
            <w:r>
              <w:rPr>
                <w:rFonts w:ascii="Arial" w:hAnsi="Arial" w:cs="Arial"/>
                <w:sz w:val="24"/>
                <w:szCs w:val="24"/>
                <w:lang w:eastAsia="pt-BR"/>
              </w:rPr>
              <w:t>25</w:t>
            </w:r>
          </w:p>
        </w:tc>
        <w:tc>
          <w:tcPr>
            <w:tcW w:w="2302" w:type="dxa"/>
            <w:tcBorders>
              <w:top w:val="nil"/>
              <w:left w:val="nil"/>
              <w:bottom w:val="single" w:color="auto" w:sz="4" w:space="0"/>
              <w:right w:val="single" w:color="auto" w:sz="4" w:space="0"/>
            </w:tcBorders>
            <w:shd w:val="clear" w:color="auto" w:fill="auto"/>
            <w:vAlign w:val="center"/>
          </w:tcPr>
          <w:p w14:paraId="4170EC38">
            <w:pPr>
              <w:spacing w:line="360" w:lineRule="auto"/>
              <w:jc w:val="center"/>
              <w:rPr>
                <w:rFonts w:ascii="Arial" w:hAnsi="Arial" w:cs="Arial"/>
                <w:sz w:val="24"/>
                <w:szCs w:val="24"/>
                <w:lang w:eastAsia="pt-BR"/>
              </w:rPr>
            </w:pPr>
            <w:r>
              <w:rPr>
                <w:rFonts w:ascii="Arial" w:hAnsi="Arial" w:cs="Arial"/>
                <w:sz w:val="24"/>
                <w:szCs w:val="24"/>
                <w:lang w:eastAsia="pt-BR"/>
              </w:rPr>
              <w:t>16,66</w:t>
            </w:r>
          </w:p>
        </w:tc>
      </w:tr>
    </w:tbl>
    <w:p w14:paraId="3343F561">
      <w:pPr>
        <w:pStyle w:val="36"/>
        <w:spacing w:line="360" w:lineRule="auto"/>
        <w:jc w:val="both"/>
        <w:rPr>
          <w:rFonts w:ascii="Arial" w:hAnsi="Arial" w:eastAsia="Times New Roman" w:cs="Arial"/>
          <w:sz w:val="24"/>
          <w:szCs w:val="24"/>
          <w:lang w:eastAsia="pt-BR"/>
        </w:rPr>
      </w:pPr>
    </w:p>
    <w:p w14:paraId="51294BBA">
      <w:pPr>
        <w:spacing w:line="360" w:lineRule="auto"/>
        <w:jc w:val="both"/>
        <w:rPr>
          <w:rFonts w:ascii="Arial" w:hAnsi="Arial" w:cs="Arial"/>
          <w:sz w:val="24"/>
          <w:szCs w:val="24"/>
          <w:lang w:eastAsia="pt-BR"/>
        </w:rPr>
      </w:pPr>
      <w:r>
        <w:rPr>
          <w:rFonts w:ascii="Arial" w:hAnsi="Arial" w:cs="Arial"/>
          <w:sz w:val="24"/>
          <w:szCs w:val="24"/>
          <w:lang w:eastAsia="pt-BR"/>
        </w:rPr>
        <w:t>Os calçados serão embalados em sacos plásticos com medidas de 35cm x 25cm, estando bem protegidos e acondicionados .</w:t>
      </w:r>
    </w:p>
    <w:p w14:paraId="384AEEF8">
      <w:pPr>
        <w:spacing w:line="360" w:lineRule="auto"/>
        <w:jc w:val="both"/>
        <w:rPr>
          <w:rFonts w:ascii="Arial" w:hAnsi="Arial" w:cs="Arial"/>
          <w:sz w:val="24"/>
          <w:szCs w:val="24"/>
          <w:lang w:eastAsia="pt-BR"/>
        </w:rPr>
      </w:pPr>
      <w:r>
        <w:rPr>
          <w:rFonts w:ascii="Arial" w:hAnsi="Arial" w:cs="Arial"/>
          <w:sz w:val="24"/>
          <w:szCs w:val="24"/>
          <w:lang w:eastAsia="pt-BR"/>
        </w:rPr>
        <w:t>Os calçados serão embalados, em caixas tipo colméia com 20 pares de papel cartão triplex super resistente, proporcionando proteção e preservando a integridade física dos calçados, com melhor acondicionamento para o armazenamento e transporte.</w:t>
      </w:r>
    </w:p>
    <w:p w14:paraId="71BAB687">
      <w:pPr>
        <w:spacing w:line="360" w:lineRule="auto"/>
        <w:jc w:val="both"/>
        <w:rPr>
          <w:rFonts w:ascii="Arial" w:hAnsi="Arial" w:cs="Arial"/>
          <w:sz w:val="24"/>
          <w:szCs w:val="24"/>
          <w:lang w:eastAsia="pt-BR"/>
        </w:rPr>
      </w:pPr>
    </w:p>
    <w:p w14:paraId="15F15B14">
      <w:pPr>
        <w:pStyle w:val="36"/>
        <w:spacing w:line="360" w:lineRule="auto"/>
        <w:jc w:val="both"/>
        <w:rPr>
          <w:rFonts w:ascii="Arial" w:hAnsi="Arial" w:eastAsia="Times New Roman" w:cs="Arial"/>
          <w:b/>
          <w:sz w:val="24"/>
          <w:szCs w:val="24"/>
          <w:lang w:eastAsia="pt-BR"/>
        </w:rPr>
      </w:pPr>
      <w:r>
        <w:rPr>
          <w:rFonts w:ascii="Arial" w:hAnsi="Arial" w:eastAsia="Times New Roman" w:cs="Arial"/>
          <w:b/>
          <w:sz w:val="24"/>
          <w:szCs w:val="24"/>
          <w:lang w:eastAsia="pt-BR"/>
        </w:rPr>
        <w:t>AMOSTRAS</w:t>
      </w:r>
    </w:p>
    <w:p w14:paraId="17DDDAD2">
      <w:pPr>
        <w:pStyle w:val="10"/>
        <w:spacing w:before="1" w:line="360" w:lineRule="auto"/>
        <w:ind w:right="328"/>
        <w:jc w:val="both"/>
        <w:rPr>
          <w:rFonts w:ascii="Arial" w:hAnsi="Arial" w:cs="Arial"/>
          <w:sz w:val="24"/>
          <w:szCs w:val="24"/>
          <w:lang w:val="pt-BR" w:eastAsia="pt-BR"/>
        </w:rPr>
      </w:pPr>
      <w:r>
        <w:rPr>
          <w:rFonts w:ascii="Arial" w:hAnsi="Arial" w:cs="Arial"/>
          <w:sz w:val="24"/>
          <w:szCs w:val="24"/>
          <w:lang w:val="pt-BR" w:eastAsia="pt-BR"/>
        </w:rPr>
        <w:t>A empresa arrematante, deverá apresentar, no prazo de até 8 (OITO) dias, 01 (uma) AMOSTRA DA NUMERAÇÃO : 22 no modelo cadarço,  devidamente de acordo com as especificações disposta neste Termo de Referência, ficando a adjudicação condicionada à aprovação. Tal amostra deverá estar devidamente identificadas com nome da empresa e número do pregão, e deverão estar de acordo com a legislação vigente. Não haverá devolução das amostras. As amostras deveram ser entregues juntamente com a embalagem.</w:t>
      </w:r>
    </w:p>
    <w:p w14:paraId="73D4FF6D">
      <w:pPr>
        <w:spacing w:line="360" w:lineRule="auto"/>
        <w:jc w:val="both"/>
        <w:rPr>
          <w:rFonts w:ascii="Arial" w:hAnsi="Arial" w:cs="Arial" w:eastAsiaTheme="majorEastAsia"/>
          <w:bCs/>
          <w:kern w:val="2"/>
          <w:sz w:val="24"/>
          <w:szCs w:val="24"/>
          <w:lang w:eastAsia="en-US"/>
          <w14:ligatures w14:val="standardContextual"/>
        </w:rPr>
      </w:pPr>
    </w:p>
    <w:p w14:paraId="7D09DC46">
      <w:pPr>
        <w:spacing w:line="360" w:lineRule="auto"/>
        <w:jc w:val="both"/>
        <w:rPr>
          <w:rFonts w:ascii="Arial" w:hAnsi="Arial" w:cs="Arial"/>
          <w:sz w:val="24"/>
          <w:szCs w:val="24"/>
        </w:rPr>
      </w:pPr>
      <w:r>
        <w:rPr>
          <w:rFonts w:ascii="Arial" w:hAnsi="Arial" w:cs="Arial"/>
          <w:sz w:val="24"/>
          <w:szCs w:val="24"/>
        </w:rPr>
        <w:t>A validade da ARP será de 12 (doze) meses, podendo ser prorrogada por igual período, nos termos do disposto no art. 84 da Lei Federal n. 14.133/2021.</w:t>
      </w:r>
      <w:r>
        <w:rPr>
          <w:rFonts w:ascii="Arial" w:hAnsi="Arial" w:cs="Arial"/>
          <w:color w:val="FF0000"/>
          <w:sz w:val="24"/>
          <w:szCs w:val="24"/>
        </w:rPr>
        <w:t xml:space="preserve"> </w:t>
      </w:r>
      <w:r>
        <w:rPr>
          <w:rFonts w:ascii="Arial" w:hAnsi="Arial" w:cs="Arial"/>
          <w:sz w:val="24"/>
          <w:szCs w:val="24"/>
        </w:rPr>
        <w:t>O prazo de entrega dos materiais será de até 07 (sete) dias após a Solicitação de Fornecimento.</w:t>
      </w:r>
      <w:r>
        <w:rPr>
          <w:color w:val="FF0000"/>
        </w:rPr>
        <w:t xml:space="preserve"> </w:t>
      </w:r>
    </w:p>
    <w:p w14:paraId="2550ED1B">
      <w:pPr>
        <w:spacing w:line="360" w:lineRule="auto"/>
        <w:jc w:val="both"/>
        <w:rPr>
          <w:rFonts w:ascii="Arial" w:hAnsi="Arial" w:cs="Arial"/>
          <w:b/>
          <w:bCs/>
          <w:sz w:val="24"/>
          <w:szCs w:val="24"/>
          <w:highlight w:val="yellow"/>
        </w:rPr>
      </w:pPr>
    </w:p>
    <w:p w14:paraId="2CA4F7FB">
      <w:pPr>
        <w:spacing w:line="360" w:lineRule="auto"/>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1AF90B1F">
      <w:pPr>
        <w:spacing w:line="360" w:lineRule="auto"/>
        <w:jc w:val="both"/>
        <w:rPr>
          <w:rFonts w:ascii="Arial" w:hAnsi="Arial" w:cs="Arial"/>
          <w:sz w:val="24"/>
          <w:szCs w:val="24"/>
          <w:lang w:eastAsia="pt-BR"/>
        </w:rPr>
      </w:pPr>
    </w:p>
    <w:p w14:paraId="6579487B">
      <w:pPr>
        <w:spacing w:line="360" w:lineRule="auto"/>
        <w:jc w:val="both"/>
        <w:rPr>
          <w:rFonts w:ascii="Arial" w:hAnsi="Arial" w:cs="Arial"/>
          <w:sz w:val="24"/>
          <w:szCs w:val="24"/>
          <w:lang w:eastAsia="pt-BR"/>
        </w:rPr>
      </w:pPr>
      <w:r>
        <w:rPr>
          <w:rFonts w:ascii="Arial" w:hAnsi="Arial" w:cs="Arial"/>
          <w:sz w:val="24"/>
          <w:szCs w:val="24"/>
          <w:lang w:eastAsia="pt-BR"/>
        </w:rPr>
        <w:t xml:space="preserve">A contratação para a aquisição de </w:t>
      </w:r>
      <w:r>
        <w:rPr>
          <w:rFonts w:ascii="Arial" w:hAnsi="Arial" w:cs="Arial"/>
          <w:bCs/>
          <w:sz w:val="24"/>
          <w:szCs w:val="24"/>
          <w:lang w:eastAsia="pt-BR"/>
        </w:rPr>
        <w:t xml:space="preserve">tênis para composição do uniforme escolar dos alunos da Rede Municipal de Ensino </w:t>
      </w:r>
      <w:r>
        <w:rPr>
          <w:rFonts w:ascii="Arial" w:hAnsi="Arial" w:cs="Arial"/>
          <w:sz w:val="24"/>
          <w:szCs w:val="24"/>
          <w:lang w:eastAsia="pt-BR"/>
        </w:rPr>
        <w:t xml:space="preserve">é fundamentada no fornecimento completo do uniforme, incluindo calçados adequados, assegurara o conforto, a segurança e a dignidade dos alunos, especialmente durante a prática de atividades escolares e esportivas. </w:t>
      </w:r>
    </w:p>
    <w:p w14:paraId="78DE8E73">
      <w:pPr>
        <w:spacing w:line="360" w:lineRule="auto"/>
        <w:jc w:val="both"/>
        <w:rPr>
          <w:rFonts w:ascii="Arial" w:hAnsi="Arial" w:cs="Arial"/>
          <w:sz w:val="24"/>
          <w:szCs w:val="24"/>
          <w:lang w:eastAsia="pt-BR"/>
        </w:rPr>
      </w:pPr>
      <w:r>
        <w:rPr>
          <w:rFonts w:ascii="Arial" w:hAnsi="Arial" w:cs="Arial"/>
          <w:sz w:val="24"/>
          <w:szCs w:val="24"/>
          <w:lang w:eastAsia="pt-BR"/>
        </w:rPr>
        <w:t xml:space="preserve">Ressalta-se que </w:t>
      </w:r>
      <w:r>
        <w:rPr>
          <w:rFonts w:ascii="Arial" w:hAnsi="Arial" w:cs="Arial"/>
          <w:bCs/>
          <w:sz w:val="24"/>
          <w:szCs w:val="24"/>
          <w:lang w:eastAsia="pt-BR"/>
        </w:rPr>
        <w:t>houve a identificação de uma demanda adicional de tamanhos e quantitativos de tênis que não foram contemplados no processo licitatório anterior</w:t>
      </w:r>
      <w:r>
        <w:rPr>
          <w:rFonts w:ascii="Arial" w:hAnsi="Arial" w:cs="Arial"/>
          <w:sz w:val="24"/>
          <w:szCs w:val="24"/>
          <w:lang w:eastAsia="pt-BR"/>
        </w:rPr>
        <w:t>, seja por variações no perfil dos alunos, seja pelo ingresso de novos estudantes na rede municipal. Tais mudanças tornaram necessária a complementação do fornecimento, de modo a atender integralmente todos os alunos matriculados.</w:t>
      </w:r>
    </w:p>
    <w:p w14:paraId="0D0BDBB9">
      <w:pPr>
        <w:spacing w:line="360" w:lineRule="auto"/>
        <w:jc w:val="both"/>
        <w:rPr>
          <w:rFonts w:ascii="Arial" w:hAnsi="Arial" w:cs="Arial"/>
          <w:sz w:val="24"/>
          <w:szCs w:val="24"/>
          <w:lang w:eastAsia="pt-BR"/>
        </w:rPr>
      </w:pPr>
      <w:r>
        <w:rPr>
          <w:rFonts w:ascii="Arial" w:hAnsi="Arial" w:cs="Arial"/>
          <w:sz w:val="24"/>
          <w:szCs w:val="24"/>
          <w:lang w:eastAsia="pt-BR"/>
        </w:rPr>
        <w:t xml:space="preserve">Assim, a contratação ora proposta justifica-se não apenas pela importância do item no contexto escolar, mas também pela necessidade emergente de suprir lacunas detectadas após o processo anterior, garantindo a </w:t>
      </w:r>
      <w:r>
        <w:rPr>
          <w:rFonts w:ascii="Arial" w:hAnsi="Arial" w:cs="Arial"/>
          <w:bCs/>
          <w:sz w:val="24"/>
          <w:szCs w:val="24"/>
          <w:lang w:eastAsia="pt-BR"/>
        </w:rPr>
        <w:t>uniformização adequada de todos os estudantes da rede municipal</w:t>
      </w:r>
      <w:r>
        <w:rPr>
          <w:rFonts w:ascii="Arial" w:hAnsi="Arial" w:cs="Arial"/>
          <w:sz w:val="24"/>
          <w:szCs w:val="24"/>
          <w:lang w:eastAsia="pt-BR"/>
        </w:rPr>
        <w:t>.</w:t>
      </w:r>
    </w:p>
    <w:p w14:paraId="1652D60E">
      <w:pPr>
        <w:spacing w:line="360" w:lineRule="auto"/>
        <w:jc w:val="both"/>
        <w:rPr>
          <w:rFonts w:ascii="Arial" w:hAnsi="Arial" w:cs="Arial"/>
          <w:sz w:val="24"/>
          <w:szCs w:val="24"/>
          <w:highlight w:val="yellow"/>
        </w:rPr>
      </w:pPr>
    </w:p>
    <w:p w14:paraId="27E926CF">
      <w:pPr>
        <w:spacing w:line="360" w:lineRule="auto"/>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52E6B6B8">
      <w:pPr>
        <w:spacing w:line="360" w:lineRule="auto"/>
        <w:jc w:val="both"/>
        <w:rPr>
          <w:rFonts w:ascii="Arial" w:hAnsi="Arial" w:eastAsia="Arial-BoldMT" w:cs="Arial"/>
          <w:b/>
          <w:bCs/>
          <w:sz w:val="24"/>
          <w:szCs w:val="24"/>
        </w:rPr>
      </w:pPr>
    </w:p>
    <w:p w14:paraId="79AC75D0">
      <w:pPr>
        <w:spacing w:line="360" w:lineRule="auto"/>
        <w:jc w:val="both"/>
        <w:rPr>
          <w:rFonts w:ascii="Arial" w:hAnsi="Arial" w:cs="Arial"/>
          <w:sz w:val="24"/>
          <w:szCs w:val="24"/>
          <w:lang w:eastAsia="pt-BR"/>
        </w:rPr>
      </w:pPr>
      <w:r>
        <w:rPr>
          <w:rFonts w:ascii="Arial" w:hAnsi="Arial" w:cs="Arial"/>
          <w:sz w:val="24"/>
          <w:szCs w:val="24"/>
          <w:lang w:eastAsia="pt-BR"/>
        </w:rPr>
        <w:t>A presente solução visa atender à necessidade da Rede Municipal de Ensino quanto à padronização e à promoção da equidade no ambiente escolar, por meio da aquisição de tênis escolares que compõem o uniforme dos alunos. O ciclo de vida do objeto inicia-se com o planejamento da demanda e levantamento do número de alunos beneficiados, seguido da definição das especificações técnicas dos tênis, incluindo aspectos de conforto, durabilidade, segurança e adequação às faixas etárias e condições climáticas locais.</w:t>
      </w:r>
    </w:p>
    <w:p w14:paraId="6830A858">
      <w:pPr>
        <w:spacing w:line="360" w:lineRule="auto"/>
        <w:jc w:val="both"/>
        <w:rPr>
          <w:rFonts w:ascii="Arial" w:hAnsi="Arial" w:cs="Arial"/>
          <w:sz w:val="24"/>
          <w:szCs w:val="24"/>
          <w:lang w:eastAsia="pt-BR"/>
        </w:rPr>
      </w:pPr>
      <w:r>
        <w:rPr>
          <w:rFonts w:ascii="Arial" w:hAnsi="Arial" w:cs="Arial"/>
          <w:sz w:val="24"/>
          <w:szCs w:val="24"/>
          <w:lang w:eastAsia="pt-BR"/>
        </w:rPr>
        <w:t>Após essa etapa, realiza-se o processo licitatório para a contratação de empresa(s) fornecedora(s), com critérios técnicos e de qualidade bem definidos. A produção e o fornecimento dos tênis ocorrem conforme cronograma pactuado, com controle de qualidade assegurado durante a entrega.</w:t>
      </w:r>
    </w:p>
    <w:p w14:paraId="2DB71482">
      <w:pPr>
        <w:spacing w:line="360" w:lineRule="auto"/>
        <w:jc w:val="both"/>
        <w:rPr>
          <w:rFonts w:ascii="Arial" w:hAnsi="Arial" w:cs="Arial"/>
          <w:sz w:val="24"/>
          <w:szCs w:val="24"/>
          <w:lang w:eastAsia="pt-BR"/>
        </w:rPr>
      </w:pPr>
      <w:r>
        <w:rPr>
          <w:rFonts w:ascii="Arial" w:hAnsi="Arial" w:cs="Arial"/>
          <w:sz w:val="24"/>
          <w:szCs w:val="24"/>
          <w:lang w:eastAsia="pt-BR"/>
        </w:rPr>
        <w:t>Posteriormente, é realizada a distribuição dos tênis às unidades escolares, respeitando a quantidade por aluno e os tamanhos previamente informados pelas escolas. O uso efetivo pelos alunos compõe a fase de operação do ciclo de vida, garantindo a funcionalidade esperada durante o ano letivo.</w:t>
      </w:r>
    </w:p>
    <w:p w14:paraId="53EFCB7A">
      <w:pPr>
        <w:spacing w:line="360" w:lineRule="auto"/>
        <w:jc w:val="both"/>
        <w:rPr>
          <w:rFonts w:ascii="Arial" w:hAnsi="Arial" w:cs="Arial"/>
          <w:sz w:val="24"/>
          <w:szCs w:val="24"/>
          <w:lang w:eastAsia="pt-BR"/>
        </w:rPr>
      </w:pPr>
      <w:r>
        <w:rPr>
          <w:rFonts w:ascii="Arial" w:hAnsi="Arial" w:cs="Arial"/>
          <w:sz w:val="24"/>
          <w:szCs w:val="24"/>
          <w:lang w:eastAsia="pt-BR"/>
        </w:rPr>
        <w:t>A fase de encerramento contempla o monitoramento do desgaste do material, coleta de feedback das unidades escolares e planejamento para reposições futuras, quando necessárias. Todo o processo é acompanhado possibilitando a melhoria contínua da política de uniformização escolar.</w:t>
      </w:r>
    </w:p>
    <w:p w14:paraId="390F3F77">
      <w:pPr>
        <w:spacing w:line="360" w:lineRule="auto"/>
        <w:jc w:val="both"/>
        <w:rPr>
          <w:rFonts w:ascii="Arial" w:hAnsi="Arial" w:cs="Arial"/>
          <w:sz w:val="24"/>
          <w:szCs w:val="24"/>
          <w:lang w:eastAsia="pt-BR"/>
        </w:rPr>
      </w:pPr>
      <w:r>
        <w:rPr>
          <w:rFonts w:ascii="Arial" w:hAnsi="Arial" w:cs="Arial"/>
          <w:sz w:val="24"/>
          <w:szCs w:val="24"/>
          <w:lang w:eastAsia="pt-BR"/>
        </w:rPr>
        <w:t>Esta solução contribui significativamente para a inclusão social, melhora da autoestima dos alunos, incentivo à frequência escolar e padronização visual no ambiente educacional.</w:t>
      </w:r>
    </w:p>
    <w:p w14:paraId="386B19BD">
      <w:pPr>
        <w:spacing w:line="360" w:lineRule="auto"/>
        <w:jc w:val="both"/>
        <w:rPr>
          <w:rFonts w:ascii="Arial" w:hAnsi="Arial" w:cs="Arial"/>
          <w:sz w:val="24"/>
          <w:szCs w:val="24"/>
          <w:highlight w:val="yellow"/>
        </w:rPr>
      </w:pPr>
    </w:p>
    <w:p w14:paraId="528DBB5E">
      <w:pPr>
        <w:spacing w:line="360" w:lineRule="auto"/>
        <w:jc w:val="both"/>
        <w:rPr>
          <w:rFonts w:ascii="Arial" w:hAnsi="Arial" w:eastAsia="Arial-BoldMT" w:cs="Arial"/>
          <w:b/>
          <w:bCs/>
          <w:sz w:val="24"/>
          <w:szCs w:val="24"/>
        </w:rPr>
      </w:pPr>
      <w:r>
        <w:rPr>
          <w:rFonts w:ascii="Arial" w:hAnsi="Arial" w:eastAsia="Arial-BoldMT" w:cs="Arial"/>
          <w:b/>
          <w:bCs/>
          <w:sz w:val="24"/>
          <w:szCs w:val="24"/>
        </w:rPr>
        <w:t>4 - Requisitos da contratação;</w:t>
      </w:r>
    </w:p>
    <w:p w14:paraId="2360B900">
      <w:pPr>
        <w:pStyle w:val="12"/>
        <w:spacing w:line="360" w:lineRule="auto"/>
        <w:jc w:val="both"/>
        <w:rPr>
          <w:rFonts w:ascii="Arial" w:hAnsi="Arial" w:cs="Arial"/>
          <w:highlight w:val="yellow"/>
        </w:rPr>
      </w:pPr>
      <w:r>
        <w:rPr>
          <w:rFonts w:ascii="Arial" w:hAnsi="Arial" w:cs="Arial"/>
        </w:rPr>
        <w:t xml:space="preserve">A contratação para </w:t>
      </w:r>
      <w:r>
        <w:rPr>
          <w:rFonts w:ascii="Arial" w:hAnsi="Arial" w:cs="Arial"/>
          <w:lang w:eastAsia="pt-BR"/>
        </w:rPr>
        <w:t xml:space="preserve">a aquisição de </w:t>
      </w:r>
      <w:r>
        <w:rPr>
          <w:rFonts w:ascii="Arial" w:hAnsi="Arial" w:cs="Arial"/>
          <w:bCs/>
          <w:lang w:eastAsia="pt-BR"/>
        </w:rPr>
        <w:t>tênis para composição do uniforme escolar dos alunos da Rede Municipal de Ensino</w:t>
      </w:r>
      <w:r>
        <w:rPr>
          <w:rFonts w:ascii="Arial" w:hAnsi="Arial" w:cs="Arial"/>
        </w:rPr>
        <w:t>, além de atender às determinações especificadas no edital, deverá seguir os critérios a seguir, garantindo a qualidade dos produtos e a conformidade com as exigências legais.</w:t>
      </w:r>
    </w:p>
    <w:p w14:paraId="50A5EFAB">
      <w:pPr>
        <w:pStyle w:val="4"/>
        <w:spacing w:before="0" w:after="0" w:line="360" w:lineRule="auto"/>
        <w:jc w:val="both"/>
        <w:rPr>
          <w:rFonts w:ascii="Arial" w:hAnsi="Arial" w:eastAsia="Times New Roman" w:cs="Arial"/>
          <w:i w:val="0"/>
          <w:iCs w:val="0"/>
          <w:color w:val="auto"/>
          <w:kern w:val="0"/>
          <w:sz w:val="24"/>
          <w:szCs w:val="24"/>
          <w:lang w:eastAsia="zh-CN"/>
          <w14:ligatures w14:val="none"/>
        </w:rPr>
      </w:pPr>
      <w:r>
        <w:rPr>
          <w:rFonts w:ascii="Arial" w:hAnsi="Arial" w:eastAsia="Times New Roman" w:cs="Arial"/>
          <w:i w:val="0"/>
          <w:iCs w:val="0"/>
          <w:color w:val="auto"/>
          <w:kern w:val="0"/>
          <w:sz w:val="24"/>
          <w:szCs w:val="24"/>
          <w:lang w:eastAsia="zh-CN"/>
          <w14:ligatures w14:val="none"/>
        </w:rPr>
        <w:t>4.1. Especificações dos Produtos:</w:t>
      </w:r>
    </w:p>
    <w:p w14:paraId="08E85595">
      <w:pPr>
        <w:pStyle w:val="12"/>
        <w:spacing w:line="360" w:lineRule="auto"/>
        <w:jc w:val="both"/>
        <w:rPr>
          <w:rFonts w:ascii="Arial" w:hAnsi="Arial" w:cs="Arial"/>
        </w:rPr>
      </w:pPr>
      <w:r>
        <w:rPr>
          <w:rFonts w:ascii="Arial" w:hAnsi="Arial" w:cs="Arial"/>
        </w:rPr>
        <w:t>4.1.1. Os produtos adquiridos deverão estar de acordo com as normas técnicas regulamentares brasileiras, assegurando conformidade com padrões de segurança e qualidade estabelecidos pelos órgãos competentes.</w:t>
      </w:r>
      <w:r>
        <w:rPr>
          <w:rFonts w:ascii="Arial" w:hAnsi="Arial" w:cs="Arial"/>
        </w:rPr>
        <w:br w:type="textWrapping"/>
      </w:r>
      <w:r>
        <w:rPr>
          <w:rFonts w:ascii="Arial" w:hAnsi="Arial" w:cs="Arial"/>
        </w:rPr>
        <w:t>4.1.2. Todos os itens fornecidos deverão ser novos, em perfeito estado de conservação e sem nenhum defeito que comprometa sua funcionalidade ou segurança.</w:t>
      </w:r>
      <w:r>
        <w:rPr>
          <w:rFonts w:ascii="Arial" w:hAnsi="Arial" w:cs="Arial"/>
        </w:rPr>
        <w:br w:type="textWrapping"/>
      </w:r>
      <w:r>
        <w:rPr>
          <w:rFonts w:ascii="Arial" w:hAnsi="Arial" w:cs="Arial"/>
        </w:rPr>
        <w:t>4.1.3. Os produtos deverão possuir garantia mínima de 12 (doze) meses contra defeitos de fabricação, quando aplicável, assegurando substituição ou reparo em caso de falhas no material.</w:t>
      </w:r>
    </w:p>
    <w:p w14:paraId="27E2A78D">
      <w:pPr>
        <w:pStyle w:val="12"/>
        <w:spacing w:line="360" w:lineRule="auto"/>
        <w:jc w:val="both"/>
        <w:rPr>
          <w:rFonts w:ascii="Arial" w:hAnsi="Arial" w:cs="Arial"/>
        </w:rPr>
      </w:pPr>
    </w:p>
    <w:p w14:paraId="5427DC2A">
      <w:pPr>
        <w:pStyle w:val="4"/>
        <w:spacing w:before="0" w:after="0" w:line="360" w:lineRule="auto"/>
        <w:jc w:val="both"/>
        <w:rPr>
          <w:rFonts w:ascii="Arial" w:hAnsi="Arial" w:eastAsia="Times New Roman" w:cs="Arial"/>
          <w:i w:val="0"/>
          <w:iCs w:val="0"/>
          <w:color w:val="auto"/>
          <w:kern w:val="0"/>
          <w:sz w:val="24"/>
          <w:szCs w:val="24"/>
          <w:lang w:eastAsia="zh-CN"/>
          <w14:ligatures w14:val="none"/>
        </w:rPr>
      </w:pPr>
      <w:r>
        <w:rPr>
          <w:rFonts w:ascii="Arial" w:hAnsi="Arial" w:eastAsia="Times New Roman" w:cs="Arial"/>
          <w:i w:val="0"/>
          <w:iCs w:val="0"/>
          <w:color w:val="auto"/>
          <w:kern w:val="0"/>
          <w:sz w:val="24"/>
          <w:szCs w:val="24"/>
          <w:lang w:eastAsia="zh-CN"/>
          <w14:ligatures w14:val="none"/>
        </w:rPr>
        <w:t>4.2. Requisitos para a Empresa Contratada:</w:t>
      </w:r>
    </w:p>
    <w:p w14:paraId="18362974">
      <w:pPr>
        <w:pStyle w:val="12"/>
        <w:spacing w:line="360" w:lineRule="auto"/>
        <w:jc w:val="both"/>
        <w:rPr>
          <w:rFonts w:ascii="Arial" w:hAnsi="Arial" w:cs="Arial"/>
        </w:rPr>
      </w:pPr>
      <w:r>
        <w:rPr>
          <w:rFonts w:ascii="Arial" w:hAnsi="Arial" w:cs="Arial"/>
        </w:rPr>
        <w:t>Além de atender às exigências relacionadas ao fornecimento dos produtos, a empresa contratada deverá apresentar, de forma regular, a seguinte documentação de habilitação:</w:t>
      </w:r>
    </w:p>
    <w:p w14:paraId="5D73E3DB">
      <w:pPr>
        <w:pStyle w:val="12"/>
        <w:spacing w:line="360" w:lineRule="auto"/>
        <w:jc w:val="both"/>
        <w:rPr>
          <w:rFonts w:ascii="Arial" w:hAnsi="Arial" w:cs="Arial"/>
        </w:rPr>
      </w:pPr>
      <w:r>
        <w:rPr>
          <w:rFonts w:ascii="Arial" w:hAnsi="Arial" w:cs="Arial"/>
        </w:rPr>
        <w:t>4.2.1. Comprovação Jurídica e Fiscal:</w:t>
      </w:r>
    </w:p>
    <w:p w14:paraId="70E0F3B8">
      <w:pPr>
        <w:pStyle w:val="12"/>
        <w:spacing w:line="360" w:lineRule="auto"/>
        <w:jc w:val="both"/>
        <w:rPr>
          <w:rFonts w:ascii="Arial" w:hAnsi="Arial" w:cs="Arial"/>
        </w:rPr>
      </w:pPr>
      <w:r>
        <w:rPr>
          <w:rFonts w:ascii="Arial" w:hAnsi="Arial" w:cs="Arial"/>
        </w:rPr>
        <w:t>4.2.2. Contrato social ou documento equivalente que comprove a regularidade da empresa.</w:t>
      </w:r>
      <w:r>
        <w:rPr>
          <w:rFonts w:ascii="Arial" w:hAnsi="Arial" w:cs="Arial"/>
        </w:rPr>
        <w:br w:type="textWrapping"/>
      </w:r>
      <w:r>
        <w:rPr>
          <w:rFonts w:ascii="Arial" w:hAnsi="Arial" w:cs="Arial"/>
        </w:rPr>
        <w:t>4.2.3. Certidões negativas de débito que atestem a regularidade fiscal, social e trabalhista da contratada.</w:t>
      </w:r>
    </w:p>
    <w:p w14:paraId="4CF3E0E9">
      <w:pPr>
        <w:pStyle w:val="12"/>
        <w:spacing w:line="360" w:lineRule="auto"/>
        <w:jc w:val="both"/>
        <w:rPr>
          <w:rFonts w:ascii="Arial" w:hAnsi="Arial" w:cs="Arial"/>
        </w:rPr>
      </w:pPr>
      <w:r>
        <w:rPr>
          <w:rFonts w:ascii="Arial" w:hAnsi="Arial" w:cs="Arial"/>
        </w:rPr>
        <w:t xml:space="preserve">4.3. </w:t>
      </w:r>
      <w:r>
        <w:rPr>
          <w:rFonts w:ascii="Arial" w:hAnsi="Arial" w:cs="Arial"/>
          <w:bCs/>
        </w:rPr>
        <w:t>Declarações Obrigatórias:</w:t>
      </w:r>
    </w:p>
    <w:p w14:paraId="00F2DCF9">
      <w:pPr>
        <w:pStyle w:val="12"/>
        <w:spacing w:line="360" w:lineRule="auto"/>
        <w:jc w:val="both"/>
        <w:rPr>
          <w:rFonts w:ascii="Arial" w:hAnsi="Arial" w:cs="Arial"/>
        </w:rPr>
      </w:pPr>
      <w:r>
        <w:rPr>
          <w:rFonts w:ascii="Arial" w:hAnsi="Arial" w:cs="Arial"/>
        </w:rPr>
        <w:t>4.3.1. Declaração de que a empresa não se encontra impedida de contratar sob nenhuma das hipóteses previstas no artigo 14 da Lei Federal nº 14.133/2021.</w:t>
      </w:r>
      <w:r>
        <w:rPr>
          <w:rFonts w:ascii="Arial" w:hAnsi="Arial" w:cs="Arial"/>
        </w:rPr>
        <w:br w:type="textWrapping"/>
      </w:r>
      <w:r>
        <w:rPr>
          <w:rFonts w:ascii="Arial" w:hAnsi="Arial" w:cs="Arial"/>
        </w:rPr>
        <w:t>4.3.2. Declaração de cumprimento das exigências legais referentes à reserva de cargos para pessoas com deficiência e reabilitados da Previdência Social.</w:t>
      </w:r>
      <w:r>
        <w:rPr>
          <w:rFonts w:ascii="Arial" w:hAnsi="Arial" w:cs="Arial"/>
        </w:rPr>
        <w:br w:type="textWrapping"/>
      </w:r>
      <w:r>
        <w:rPr>
          <w:rFonts w:ascii="Arial" w:hAnsi="Arial" w:cs="Arial"/>
        </w:rPr>
        <w:t>4.3.3. Declaração de atendimento ao disposto no inciso XXXIII do artigo 7º da Constituição Federal, garantindo que não há exploração de trabalho infantil ou de menores em condições proibidas por lei.</w:t>
      </w:r>
      <w:r>
        <w:rPr>
          <w:rFonts w:ascii="Arial" w:hAnsi="Arial" w:cs="Arial"/>
        </w:rPr>
        <w:br w:type="textWrapping"/>
      </w:r>
      <w:r>
        <w:rPr>
          <w:rFonts w:ascii="Arial" w:hAnsi="Arial" w:cs="Arial"/>
        </w:rPr>
        <w:t>4.3.4. Compromisso formal de que qualquer fato superveniente que possa alterar a situação cadastral da empresa será comunicado às áreas requisitantes.</w:t>
      </w:r>
      <w:r>
        <w:rPr>
          <w:rFonts w:ascii="Arial" w:hAnsi="Arial" w:cs="Arial"/>
        </w:rPr>
        <w:br w:type="textWrapping"/>
      </w:r>
      <w:r>
        <w:rPr>
          <w:rFonts w:ascii="Arial" w:hAnsi="Arial" w:cs="Arial"/>
        </w:rPr>
        <w:t>4.3.5. Confirmação de que a empresa tomou conhecimento de todas as informações e condições locais necessárias para o cumprimento adequado das obrigações contratuais.</w:t>
      </w:r>
    </w:p>
    <w:p w14:paraId="43FE6059">
      <w:pPr>
        <w:pStyle w:val="12"/>
        <w:spacing w:line="360" w:lineRule="auto"/>
        <w:jc w:val="both"/>
        <w:rPr>
          <w:rFonts w:ascii="Arial" w:hAnsi="Arial" w:cs="Arial"/>
        </w:rPr>
      </w:pPr>
      <w:r>
        <w:rPr>
          <w:rFonts w:ascii="Arial" w:hAnsi="Arial" w:cs="Arial"/>
        </w:rPr>
        <w:t>4.3.6. A empresa que ofertar o menor valor deverá apresentar a amostra, em até 08 (oito) dias úteis após a notificação feita pelo Departamento Competente, desde que as marcas apresentadas não sejam as sugeridas, com pena de desclassificação da proposta. Tal amostra deverá estar devidamente identificada com nome da empresa e número do processo licitatório, e deverão estar de acordo com a legislação vigente. Não haverá devolução das amostras. As amostras deveram ser entregues juntamente com a embalagem.</w:t>
      </w:r>
    </w:p>
    <w:p w14:paraId="26F7D932">
      <w:pPr>
        <w:pStyle w:val="12"/>
        <w:spacing w:line="360" w:lineRule="auto"/>
        <w:jc w:val="both"/>
        <w:rPr>
          <w:rFonts w:ascii="Arial" w:hAnsi="Arial" w:cs="Arial"/>
          <w:highlight w:val="yellow"/>
        </w:rPr>
      </w:pPr>
      <w:r>
        <w:rPr>
          <w:rFonts w:ascii="Arial" w:hAnsi="Arial" w:cs="Arial"/>
        </w:rPr>
        <w:t xml:space="preserve">Esses requisitos garantem que a </w:t>
      </w:r>
      <w:r>
        <w:rPr>
          <w:rFonts w:ascii="Arial" w:hAnsi="Arial" w:cs="Arial"/>
          <w:bCs/>
          <w:lang w:eastAsia="pt-BR"/>
        </w:rPr>
        <w:t>aquisição de tênis para composição do uniforme escolar dos alunos da Rede Municipal de Ensino</w:t>
      </w:r>
      <w:r>
        <w:rPr>
          <w:rFonts w:ascii="Arial" w:hAnsi="Arial" w:cs="Arial"/>
        </w:rPr>
        <w:t xml:space="preserve"> ocorra com qualidade, transparência e dentro das normas legais, assegurando a eficiência da gestão pública e o bem-estar dos beneficiários nas instituições de ensino.</w:t>
      </w:r>
    </w:p>
    <w:p w14:paraId="5ABE6FA5">
      <w:pPr>
        <w:spacing w:line="360" w:lineRule="auto"/>
        <w:jc w:val="both"/>
        <w:rPr>
          <w:rFonts w:ascii="Arial" w:hAnsi="Arial" w:cs="Arial"/>
          <w:sz w:val="24"/>
          <w:szCs w:val="24"/>
          <w:highlight w:val="yellow"/>
        </w:rPr>
      </w:pPr>
    </w:p>
    <w:p w14:paraId="5406972E">
      <w:pPr>
        <w:spacing w:line="360" w:lineRule="auto"/>
        <w:jc w:val="both"/>
        <w:rPr>
          <w:rFonts w:ascii="Arial" w:hAnsi="Arial" w:cs="Arial"/>
          <w:b/>
          <w:bCs/>
          <w:sz w:val="24"/>
          <w:szCs w:val="24"/>
        </w:rPr>
      </w:pPr>
      <w:r>
        <w:rPr>
          <w:rFonts w:ascii="Arial" w:hAnsi="Arial" w:cs="Arial"/>
          <w:b/>
          <w:bCs/>
          <w:sz w:val="24"/>
          <w:szCs w:val="24"/>
        </w:rPr>
        <w:t>5 – Modelo de execução do objeto, que consiste na definição de como o contrato deverá produzir os resultados pretendidos desde o seu início até o seu encerramento;</w:t>
      </w:r>
    </w:p>
    <w:p w14:paraId="70623741">
      <w:pPr>
        <w:spacing w:line="360" w:lineRule="auto"/>
        <w:jc w:val="both"/>
        <w:rPr>
          <w:rFonts w:ascii="Arial" w:hAnsi="Arial" w:cs="Arial"/>
          <w:sz w:val="24"/>
          <w:szCs w:val="24"/>
          <w:highlight w:val="yellow"/>
        </w:rPr>
      </w:pPr>
    </w:p>
    <w:p w14:paraId="222B9FC2">
      <w:pPr>
        <w:spacing w:line="360" w:lineRule="auto"/>
        <w:jc w:val="both"/>
        <w:rPr>
          <w:rFonts w:ascii="Arial" w:hAnsi="Arial" w:cs="Arial"/>
          <w:sz w:val="24"/>
          <w:szCs w:val="24"/>
        </w:rPr>
      </w:pPr>
      <w:r>
        <w:rPr>
          <w:rFonts w:ascii="Arial" w:hAnsi="Arial" w:cs="Arial"/>
          <w:sz w:val="24"/>
          <w:szCs w:val="24"/>
        </w:rPr>
        <w:t>A validade da ARP será de 12 (doze) meses, podendo ser prorrogada por igual período, nos termos do disposto no art. 84 da Lei Federal n. 14.133/2021.</w:t>
      </w:r>
      <w:r>
        <w:rPr>
          <w:rFonts w:ascii="Arial" w:hAnsi="Arial" w:cs="Arial"/>
          <w:color w:val="FF0000"/>
          <w:sz w:val="24"/>
          <w:szCs w:val="24"/>
        </w:rPr>
        <w:t xml:space="preserve"> </w:t>
      </w:r>
      <w:r>
        <w:rPr>
          <w:rFonts w:ascii="Arial" w:hAnsi="Arial" w:cs="Arial"/>
          <w:sz w:val="24"/>
          <w:szCs w:val="24"/>
        </w:rPr>
        <w:t>O prazo de entrega dos materiais será de até 07 (sete) dias após a Solicitação de Fornecimento.</w:t>
      </w:r>
    </w:p>
    <w:p w14:paraId="7E9CABA4">
      <w:pPr>
        <w:spacing w:line="360" w:lineRule="auto"/>
        <w:jc w:val="both"/>
        <w:rPr>
          <w:rFonts w:ascii="Arial" w:hAnsi="Arial" w:cs="Arial" w:eastAsiaTheme="majorEastAsia"/>
          <w:b/>
          <w:bCs/>
          <w:sz w:val="24"/>
          <w:szCs w:val="24"/>
          <w:u w:val="single"/>
        </w:rPr>
      </w:pPr>
      <w:r>
        <w:rPr>
          <w:rFonts w:ascii="Arial" w:hAnsi="Arial" w:cs="Arial" w:eastAsiaTheme="majorEastAsia"/>
          <w:sz w:val="24"/>
          <w:szCs w:val="24"/>
        </w:rPr>
        <w:t xml:space="preserve">Os itens serão inspecionados para verificação de conformidade com as especificações antes do aceite definitivo. O fornecedor terá a obrigação de garantir que os produtos sejam novos, sem uso anterior e em perfeito estado de armazenamento, além de se disponibilizar para possíveis trocas ou solicitações dentro do período de garantia. Caso algum item apresente avarias em sua composição como um todo, a substituição deverá ser realizada dentro do prazo estabelecido. Os itens deverão ser entregues lacrados, mantidos em suas embalagens originais e devidamente identificadas. </w:t>
      </w:r>
      <w:r>
        <w:rPr>
          <w:rFonts w:ascii="Arial" w:hAnsi="Arial" w:cs="Arial" w:eastAsiaTheme="majorEastAsia"/>
          <w:b/>
          <w:bCs/>
          <w:sz w:val="24"/>
          <w:szCs w:val="24"/>
          <w:u w:val="single"/>
        </w:rPr>
        <w:t>Os itens deverão ser entregues em um prazo de até 07 (sete) dias após a emissão da Autorização de Fornecimento. Os itens deverão ser entregues na Secretaria de Educação, Rua Barão de Rifaina, nº 390, Centro, Rifaina-SP, em horário das 07:00 às 16:00 em dias úteis (Segunda a Sexta-feira).</w:t>
      </w:r>
    </w:p>
    <w:p w14:paraId="298008D1">
      <w:pPr>
        <w:spacing w:line="360" w:lineRule="auto"/>
        <w:jc w:val="both"/>
        <w:rPr>
          <w:rFonts w:ascii="Arial" w:hAnsi="Arial" w:eastAsia="Arial-BoldMT" w:cs="Arial"/>
          <w:b/>
          <w:bCs/>
          <w:sz w:val="24"/>
          <w:szCs w:val="24"/>
          <w:highlight w:val="yellow"/>
        </w:rPr>
      </w:pPr>
    </w:p>
    <w:p w14:paraId="24CBDF23">
      <w:pPr>
        <w:spacing w:line="360" w:lineRule="auto"/>
        <w:ind w:hanging="142"/>
        <w:jc w:val="both"/>
        <w:rPr>
          <w:rFonts w:ascii="Arial" w:hAnsi="Arial" w:eastAsia="Arial-BoldMT" w:cs="Arial"/>
          <w:b/>
          <w:bCs/>
          <w:sz w:val="24"/>
          <w:szCs w:val="24"/>
        </w:rPr>
      </w:pPr>
      <w:r>
        <w:rPr>
          <w:rFonts w:ascii="Arial" w:hAnsi="Arial" w:eastAsia="Arial-BoldMT" w:cs="Arial"/>
          <w:b/>
          <w:bCs/>
          <w:sz w:val="24"/>
          <w:szCs w:val="24"/>
        </w:rPr>
        <w:t xml:space="preserve">  6- Modelo de gestão do contrato, que descreve como a execução do objeto será acompanhada e fiscalizada pelo órgão ou entidade;</w:t>
      </w:r>
    </w:p>
    <w:p w14:paraId="1A9A51D6">
      <w:pPr>
        <w:spacing w:line="360" w:lineRule="auto"/>
        <w:ind w:hanging="142"/>
        <w:jc w:val="both"/>
        <w:rPr>
          <w:rFonts w:ascii="Arial" w:hAnsi="Arial" w:eastAsia="Arial-BoldMT" w:cs="Arial"/>
          <w:b/>
          <w:bCs/>
          <w:sz w:val="24"/>
          <w:szCs w:val="24"/>
        </w:rPr>
      </w:pPr>
    </w:p>
    <w:p w14:paraId="3C3C0FDE">
      <w:pPr>
        <w:spacing w:line="360" w:lineRule="auto"/>
        <w:jc w:val="both"/>
        <w:rPr>
          <w:rFonts w:ascii="Arial" w:hAnsi="Arial" w:eastAsia="Arial-BoldMT" w:cs="Arial"/>
          <w:sz w:val="24"/>
          <w:szCs w:val="24"/>
        </w:rPr>
      </w:pPr>
      <w:r>
        <w:rPr>
          <w:rFonts w:ascii="Arial" w:hAnsi="Arial" w:eastAsia="Arial-BoldMT" w:cs="Arial"/>
          <w:sz w:val="24"/>
          <w:szCs w:val="24"/>
        </w:rPr>
        <w:t xml:space="preserve">O contrato deverá ser fielmente executado pelas partes, de acordo com as cláusulas avençadas e as normas da Lei nº 14.133/2021, e as partes responderão pelas consequências de sua inexecução total ou parcial. </w:t>
      </w:r>
    </w:p>
    <w:p w14:paraId="67397C6E">
      <w:pPr>
        <w:spacing w:line="360" w:lineRule="auto"/>
        <w:jc w:val="both"/>
        <w:rPr>
          <w:rFonts w:ascii="Arial" w:hAnsi="Arial" w:eastAsia="Arial-BoldMT" w:cs="Arial"/>
          <w:sz w:val="24"/>
          <w:szCs w:val="24"/>
        </w:rPr>
      </w:pPr>
      <w:r>
        <w:rPr>
          <w:rFonts w:ascii="Arial" w:hAnsi="Arial" w:eastAsia="Arial-BoldMT" w:cs="Arial"/>
          <w:sz w:val="24"/>
          <w:szCs w:val="24"/>
        </w:rPr>
        <w:t>A execução do contrato será acompanhada pelo fiscal ou por substituto designado pelo mesmo, Sr. Breno Henrique Souza Cintra, CPF: 405.042.088-35.</w:t>
      </w:r>
    </w:p>
    <w:p w14:paraId="23677E6D">
      <w:pPr>
        <w:spacing w:line="360" w:lineRule="auto"/>
        <w:jc w:val="both"/>
        <w:rPr>
          <w:rFonts w:ascii="Arial" w:hAnsi="Arial" w:eastAsia="Arial-BoldMT" w:cs="Arial"/>
          <w:sz w:val="24"/>
          <w:szCs w:val="24"/>
        </w:rPr>
      </w:pPr>
      <w:r>
        <w:rPr>
          <w:rFonts w:ascii="Arial" w:hAnsi="Arial" w:eastAsia="Arial-BoldMT" w:cs="Arial"/>
          <w:sz w:val="24"/>
          <w:szCs w:val="24"/>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5469D5BE">
      <w:pPr>
        <w:spacing w:line="360" w:lineRule="auto"/>
        <w:jc w:val="both"/>
        <w:rPr>
          <w:rFonts w:ascii="Arial" w:hAnsi="Arial" w:eastAsia="Arial-BoldMT" w:cs="Arial"/>
          <w:sz w:val="24"/>
          <w:szCs w:val="24"/>
        </w:rPr>
      </w:pPr>
      <w:r>
        <w:rPr>
          <w:rFonts w:ascii="Arial" w:hAnsi="Arial" w:eastAsia="Arial-BoldMT" w:cs="Arial"/>
          <w:sz w:val="24"/>
          <w:szCs w:val="24"/>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7B39B210">
      <w:pPr>
        <w:spacing w:line="360" w:lineRule="auto"/>
        <w:jc w:val="both"/>
        <w:rPr>
          <w:rFonts w:ascii="Arial" w:hAnsi="Arial" w:eastAsia="Arial-BoldMT" w:cs="Arial"/>
          <w:sz w:val="24"/>
          <w:szCs w:val="24"/>
        </w:rPr>
      </w:pPr>
      <w:r>
        <w:rPr>
          <w:rFonts w:ascii="Arial" w:hAnsi="Arial" w:eastAsia="Arial-BoldMT" w:cs="Arial"/>
          <w:sz w:val="24"/>
          <w:szCs w:val="24"/>
        </w:rPr>
        <w:t xml:space="preserve">O contratado também fica responsável pelos danos causados diretamente à administração ou a terceiros, em razão da execução do contrato. </w:t>
      </w:r>
    </w:p>
    <w:p w14:paraId="5C36012A">
      <w:pPr>
        <w:spacing w:line="360" w:lineRule="auto"/>
        <w:jc w:val="both"/>
        <w:rPr>
          <w:rFonts w:ascii="Arial" w:hAnsi="Arial" w:eastAsia="Arial-BoldMT" w:cs="Arial"/>
          <w:sz w:val="24"/>
          <w:szCs w:val="24"/>
        </w:rPr>
      </w:pPr>
      <w:r>
        <w:rPr>
          <w:rFonts w:ascii="Arial" w:hAnsi="Arial" w:eastAsia="Arial-BoldMT" w:cs="Arial"/>
          <w:sz w:val="24"/>
          <w:szCs w:val="24"/>
        </w:rPr>
        <w:t>Somente o contratado será responsável pelos encargos trabalhistas, previdenciários, fiscais e comerciais resultantes da execução do contrato.</w:t>
      </w:r>
    </w:p>
    <w:p w14:paraId="0C2312E8">
      <w:pPr>
        <w:spacing w:line="360" w:lineRule="auto"/>
        <w:jc w:val="both"/>
        <w:rPr>
          <w:rFonts w:ascii="Arial" w:hAnsi="Arial" w:eastAsia="Arial-BoldMT" w:cs="Arial"/>
          <w:b/>
          <w:bCs/>
          <w:sz w:val="24"/>
          <w:szCs w:val="24"/>
        </w:rPr>
      </w:pPr>
    </w:p>
    <w:p w14:paraId="1ED7A1DE">
      <w:pPr>
        <w:spacing w:line="360" w:lineRule="auto"/>
        <w:jc w:val="both"/>
        <w:rPr>
          <w:rFonts w:ascii="Arial" w:hAnsi="Arial" w:eastAsia="Arial-BoldMT" w:cs="Arial"/>
          <w:b/>
          <w:bCs/>
          <w:sz w:val="24"/>
          <w:szCs w:val="24"/>
        </w:rPr>
      </w:pPr>
      <w:r>
        <w:rPr>
          <w:rFonts w:ascii="Arial" w:hAnsi="Arial" w:eastAsia="Arial-BoldMT" w:cs="Arial"/>
          <w:b/>
          <w:bCs/>
          <w:sz w:val="24"/>
          <w:szCs w:val="24"/>
        </w:rPr>
        <w:t>7 - Critérios de medição e de pagamento;</w:t>
      </w:r>
    </w:p>
    <w:p w14:paraId="6336BD7B">
      <w:pPr>
        <w:spacing w:line="360" w:lineRule="auto"/>
        <w:jc w:val="both"/>
        <w:rPr>
          <w:rFonts w:ascii="Arial" w:hAnsi="Arial" w:eastAsia="Arial-BoldMT" w:cs="Arial"/>
          <w:b/>
          <w:bCs/>
          <w:sz w:val="24"/>
          <w:szCs w:val="24"/>
          <w:highlight w:val="yellow"/>
        </w:rPr>
      </w:pPr>
    </w:p>
    <w:p w14:paraId="18F10D6E">
      <w:pPr>
        <w:spacing w:line="360" w:lineRule="auto"/>
        <w:jc w:val="both"/>
        <w:rPr>
          <w:rFonts w:ascii="Arial" w:hAnsi="Arial" w:cs="Arial"/>
          <w:sz w:val="24"/>
          <w:szCs w:val="24"/>
        </w:rPr>
      </w:pPr>
      <w:r>
        <w:rPr>
          <w:rFonts w:ascii="Arial" w:hAnsi="Arial" w:cs="Arial"/>
          <w:sz w:val="24"/>
          <w:szCs w:val="24"/>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729CFDF0">
      <w:pPr>
        <w:spacing w:line="360" w:lineRule="auto"/>
        <w:jc w:val="both"/>
        <w:rPr>
          <w:rFonts w:ascii="Arial" w:hAnsi="Arial" w:cs="Arial"/>
          <w:sz w:val="24"/>
          <w:szCs w:val="24"/>
        </w:rPr>
      </w:pPr>
      <w:r>
        <w:rPr>
          <w:rFonts w:ascii="Arial" w:hAnsi="Arial" w:cs="Arial"/>
          <w:sz w:val="24"/>
          <w:szCs w:val="24"/>
        </w:rPr>
        <w:t>7.2. Considera-se ocorrido o recebimento da nota fiscal ou fatura no momento em que o órgão contratante atestar a execução do objeto do contrato</w:t>
      </w:r>
    </w:p>
    <w:p w14:paraId="0BC6DD3F">
      <w:pPr>
        <w:spacing w:line="360" w:lineRule="auto"/>
        <w:jc w:val="both"/>
        <w:rPr>
          <w:rFonts w:ascii="Arial" w:hAnsi="Arial" w:cs="Arial"/>
          <w:sz w:val="24"/>
          <w:szCs w:val="24"/>
        </w:rPr>
      </w:pPr>
      <w:r>
        <w:rPr>
          <w:rFonts w:ascii="Arial" w:hAnsi="Arial" w:cs="Arial"/>
          <w:sz w:val="24"/>
          <w:szCs w:val="24"/>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67227381">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FB60FDB">
      <w:pPr>
        <w:spacing w:line="360" w:lineRule="auto"/>
        <w:jc w:val="both"/>
        <w:rPr>
          <w:rFonts w:ascii="Arial" w:hAnsi="Arial" w:eastAsia="Arial" w:cs="Arial"/>
          <w:sz w:val="24"/>
          <w:szCs w:val="24"/>
          <w:lang w:eastAsia="pt-BR"/>
        </w:rPr>
      </w:pPr>
      <w:r>
        <w:rPr>
          <w:rFonts w:ascii="Arial" w:hAnsi="Arial" w:eastAsia="Arial" w:cs="Arial"/>
          <w:sz w:val="24"/>
          <w:szCs w:val="24"/>
          <w:lang w:eastAsia="pt-BR"/>
        </w:rPr>
        <w:t>7.5. Na hipótese de devolução, a nota fiscal/fatura será considerada como não apresentada, para fins de atendimento das condições contratuais.</w:t>
      </w:r>
    </w:p>
    <w:p w14:paraId="768AFEED">
      <w:pPr>
        <w:spacing w:line="360" w:lineRule="auto"/>
        <w:jc w:val="both"/>
        <w:rPr>
          <w:rFonts w:ascii="Arial" w:hAnsi="Arial" w:cs="Arial"/>
          <w:sz w:val="24"/>
          <w:szCs w:val="24"/>
        </w:rPr>
      </w:pPr>
      <w:r>
        <w:rPr>
          <w:rFonts w:ascii="Arial" w:hAnsi="Arial" w:eastAsia="Arial" w:cs="Arial"/>
          <w:sz w:val="24"/>
          <w:szCs w:val="24"/>
        </w:rPr>
        <w:t>7.6. A Contratante efetuará retenção, na fonte, dos tributos e contribuições sobre todos os pagamentos devidos à Contratada, na forma da legislação aplicável.</w:t>
      </w:r>
    </w:p>
    <w:p w14:paraId="4D62B70B">
      <w:pPr>
        <w:spacing w:line="360" w:lineRule="auto"/>
        <w:jc w:val="both"/>
        <w:rPr>
          <w:rFonts w:ascii="Arial" w:hAnsi="Arial" w:eastAsia="Arial" w:cs="Arial"/>
          <w:sz w:val="24"/>
          <w:szCs w:val="24"/>
        </w:rPr>
      </w:pPr>
      <w:r>
        <w:rPr>
          <w:rFonts w:ascii="Arial" w:hAnsi="Arial" w:cs="Arial"/>
          <w:sz w:val="24"/>
          <w:szCs w:val="24"/>
        </w:rPr>
        <w:t xml:space="preserve">7.7. </w:t>
      </w:r>
      <w:r>
        <w:rPr>
          <w:rFonts w:ascii="Arial" w:hAnsi="Arial" w:eastAsia="Arial" w:cs="Arial"/>
          <w:sz w:val="24"/>
          <w:szCs w:val="24"/>
        </w:rPr>
        <w:t>Os eventuais encargos financeiros, processuais e outros, decorrentes da inobservância, pela Contratada, de prazo de pagamento, serão de sua exclusiva responsabilidade.</w:t>
      </w:r>
    </w:p>
    <w:p w14:paraId="5F14FF08">
      <w:pPr>
        <w:spacing w:line="360" w:lineRule="auto"/>
        <w:jc w:val="both"/>
        <w:rPr>
          <w:rFonts w:ascii="Arial" w:hAnsi="Arial" w:eastAsia="Arial" w:cs="Arial"/>
          <w:color w:val="000000"/>
          <w:sz w:val="24"/>
          <w:szCs w:val="24"/>
        </w:rPr>
      </w:pPr>
      <w:r>
        <w:rPr>
          <w:rFonts w:ascii="Arial" w:hAnsi="Arial" w:eastAsia="Arial" w:cs="Arial"/>
          <w:color w:val="000000"/>
          <w:sz w:val="24"/>
          <w:szCs w:val="24"/>
        </w:rPr>
        <w:t>7.8. A Contratada, durante toda a execução do contrato, deverá manter todas as condições de habilitação e qualificação exigidas na licitação.</w:t>
      </w:r>
    </w:p>
    <w:p w14:paraId="69558CF8">
      <w:pPr>
        <w:spacing w:line="360" w:lineRule="auto"/>
        <w:jc w:val="both"/>
        <w:rPr>
          <w:rFonts w:ascii="Arial" w:hAnsi="Arial" w:eastAsia="Arial-BoldMT" w:cs="Arial"/>
          <w:sz w:val="24"/>
          <w:szCs w:val="24"/>
        </w:rPr>
      </w:pPr>
    </w:p>
    <w:p w14:paraId="35819A7D">
      <w:pPr>
        <w:spacing w:line="360" w:lineRule="auto"/>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237332CE">
      <w:pPr>
        <w:spacing w:line="360" w:lineRule="auto"/>
        <w:jc w:val="both"/>
        <w:rPr>
          <w:rFonts w:ascii="Arial" w:hAnsi="Arial" w:eastAsia="Arial-BoldMT" w:cs="Arial"/>
          <w:b/>
          <w:bCs/>
          <w:sz w:val="24"/>
          <w:szCs w:val="24"/>
        </w:rPr>
      </w:pPr>
    </w:p>
    <w:p w14:paraId="7C253BAC">
      <w:pPr>
        <w:spacing w:line="360" w:lineRule="auto"/>
        <w:jc w:val="both"/>
        <w:rPr>
          <w:rFonts w:ascii="Arial" w:hAnsi="Arial" w:cs="Arial"/>
          <w:sz w:val="24"/>
          <w:szCs w:val="24"/>
        </w:rPr>
      </w:pPr>
      <w:r>
        <w:rPr>
          <w:rFonts w:ascii="Arial" w:hAnsi="Arial" w:cs="Arial"/>
          <w:sz w:val="24"/>
          <w:szCs w:val="24"/>
        </w:rPr>
        <w:t>Aplica-se ao presente o disposto no inc. I do art. 33 da Lei 14.133/2021, ou seja, julgamento das propostas menor preço unitário. Trata-se de item único.</w:t>
      </w:r>
    </w:p>
    <w:p w14:paraId="32A76340">
      <w:pPr>
        <w:spacing w:line="360" w:lineRule="auto"/>
        <w:jc w:val="both"/>
        <w:rPr>
          <w:rFonts w:ascii="Arial" w:hAnsi="Arial" w:eastAsia="Arial-BoldMT" w:cs="Arial"/>
          <w:b/>
          <w:bCs/>
          <w:sz w:val="24"/>
          <w:szCs w:val="24"/>
          <w:highlight w:val="yellow"/>
        </w:rPr>
      </w:pPr>
    </w:p>
    <w:p w14:paraId="5AF1DC88">
      <w:pPr>
        <w:spacing w:line="360" w:lineRule="auto"/>
        <w:jc w:val="both"/>
        <w:rPr>
          <w:rFonts w:ascii="Arial" w:hAnsi="Arial" w:eastAsia="Arial-BoldMT" w:cs="Arial"/>
          <w:bCs/>
          <w:sz w:val="24"/>
          <w:szCs w:val="24"/>
        </w:rPr>
      </w:pPr>
      <w:r>
        <w:rPr>
          <w:rFonts w:ascii="Arial" w:hAnsi="Arial" w:eastAsia="Arial-BoldMT" w:cs="Arial"/>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31FCF5E">
      <w:pPr>
        <w:pStyle w:val="17"/>
        <w:widowControl w:val="0"/>
        <w:autoSpaceDE w:val="0"/>
        <w:autoSpaceDN w:val="0"/>
        <w:spacing w:after="0" w:line="360" w:lineRule="auto"/>
        <w:ind w:left="0"/>
        <w:contextualSpacing w:val="0"/>
        <w:jc w:val="both"/>
        <w:rPr>
          <w:rFonts w:ascii="Arial" w:hAnsi="Arial" w:cs="Arial"/>
          <w:b/>
          <w:bCs/>
          <w:sz w:val="24"/>
          <w:szCs w:val="24"/>
        </w:rPr>
      </w:pPr>
    </w:p>
    <w:p w14:paraId="16631AAC">
      <w:pPr>
        <w:pStyle w:val="17"/>
        <w:widowControl w:val="0"/>
        <w:autoSpaceDE w:val="0"/>
        <w:autoSpaceDN w:val="0"/>
        <w:spacing w:after="0" w:line="360" w:lineRule="auto"/>
        <w:ind w:left="0"/>
        <w:contextualSpacing w:val="0"/>
        <w:jc w:val="both"/>
        <w:rPr>
          <w:rFonts w:ascii="Arial" w:hAnsi="Arial" w:cs="Arial"/>
          <w:sz w:val="24"/>
          <w:szCs w:val="24"/>
        </w:rPr>
      </w:pPr>
      <w:r>
        <w:rPr>
          <w:rFonts w:ascii="Arial" w:hAnsi="Arial" w:cs="Arial"/>
          <w:sz w:val="24"/>
          <w:szCs w:val="24"/>
        </w:rPr>
        <w:t>9.1 Para fins de elaboração do valor estimado da contratação, foram observadas as regras constantes do § 1º do art. 23 da Lei Federal n. 14.133/2021:</w:t>
      </w:r>
    </w:p>
    <w:p w14:paraId="730303EF">
      <w:pPr>
        <w:pStyle w:val="17"/>
        <w:widowControl w:val="0"/>
        <w:autoSpaceDE w:val="0"/>
        <w:autoSpaceDN w:val="0"/>
        <w:spacing w:after="0" w:line="360" w:lineRule="auto"/>
        <w:ind w:left="0"/>
        <w:contextualSpacing w:val="0"/>
        <w:jc w:val="both"/>
        <w:rPr>
          <w:rFonts w:ascii="Arial" w:hAnsi="Arial" w:cs="Arial"/>
          <w:sz w:val="24"/>
          <w:szCs w:val="24"/>
        </w:rPr>
      </w:pPr>
    </w:p>
    <w:p w14:paraId="55BAE4A7">
      <w:pPr>
        <w:pStyle w:val="17"/>
        <w:widowControl w:val="0"/>
        <w:autoSpaceDE w:val="0"/>
        <w:autoSpaceDN w:val="0"/>
        <w:spacing w:after="0" w:line="360" w:lineRule="auto"/>
        <w:ind w:left="1560"/>
        <w:jc w:val="both"/>
        <w:rPr>
          <w:rFonts w:ascii="Arial" w:hAnsi="Arial" w:cs="Arial"/>
          <w:b/>
          <w:bCs/>
          <w:sz w:val="24"/>
          <w:szCs w:val="24"/>
        </w:rPr>
      </w:pPr>
      <w:r>
        <w:rPr>
          <w:rFonts w:ascii="Arial" w:hAnsi="Arial" w:cs="Arial"/>
          <w:b/>
          <w:bCs/>
          <w:sz w:val="24"/>
          <w:szCs w:val="24"/>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7DE2CC2E">
      <w:pPr>
        <w:pStyle w:val="17"/>
        <w:widowControl w:val="0"/>
        <w:autoSpaceDE w:val="0"/>
        <w:autoSpaceDN w:val="0"/>
        <w:spacing w:after="0" w:line="360" w:lineRule="auto"/>
        <w:ind w:left="1560"/>
        <w:jc w:val="both"/>
        <w:rPr>
          <w:rFonts w:ascii="Arial" w:hAnsi="Arial" w:cs="Arial"/>
          <w:b/>
          <w:bCs/>
          <w:sz w:val="24"/>
          <w:szCs w:val="24"/>
        </w:rPr>
      </w:pPr>
      <w:bookmarkStart w:id="2" w:name="art23§1i"/>
      <w:bookmarkEnd w:id="2"/>
      <w:r>
        <w:rPr>
          <w:rFonts w:ascii="Arial" w:hAnsi="Arial" w:cs="Arial"/>
          <w:b/>
          <w:bCs/>
          <w:sz w:val="24"/>
          <w:szCs w:val="24"/>
        </w:rPr>
        <w:t>I - Composição de custos unitários menores ou iguais à mediana do item correspondente no painel para consulta de preços ou no banco de preços em saúde disponíveis no Portal Nacional de Contratações Públicas (PNCP);</w:t>
      </w:r>
    </w:p>
    <w:p w14:paraId="00C00809">
      <w:pPr>
        <w:pStyle w:val="17"/>
        <w:widowControl w:val="0"/>
        <w:autoSpaceDE w:val="0"/>
        <w:autoSpaceDN w:val="0"/>
        <w:spacing w:after="0" w:line="360" w:lineRule="auto"/>
        <w:ind w:left="1560"/>
        <w:jc w:val="both"/>
        <w:rPr>
          <w:rFonts w:ascii="Arial" w:hAnsi="Arial" w:cs="Arial"/>
          <w:b/>
          <w:bCs/>
          <w:sz w:val="24"/>
          <w:szCs w:val="24"/>
        </w:rPr>
      </w:pPr>
      <w:bookmarkStart w:id="3" w:name="art23§1ii"/>
      <w:bookmarkEnd w:id="3"/>
      <w:r>
        <w:rPr>
          <w:rFonts w:ascii="Arial" w:hAnsi="Arial" w:cs="Arial"/>
          <w:b/>
          <w:bCs/>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6200F68B">
      <w:pPr>
        <w:pStyle w:val="17"/>
        <w:widowControl w:val="0"/>
        <w:autoSpaceDE w:val="0"/>
        <w:autoSpaceDN w:val="0"/>
        <w:spacing w:after="0" w:line="360" w:lineRule="auto"/>
        <w:ind w:left="1560"/>
        <w:jc w:val="both"/>
        <w:rPr>
          <w:rFonts w:ascii="Arial" w:hAnsi="Arial" w:cs="Arial"/>
          <w:b/>
          <w:bCs/>
          <w:sz w:val="24"/>
          <w:szCs w:val="24"/>
        </w:rPr>
      </w:pPr>
      <w:bookmarkStart w:id="4" w:name="art23§1iii"/>
      <w:bookmarkEnd w:id="4"/>
      <w:r>
        <w:rPr>
          <w:rFonts w:ascii="Arial" w:hAnsi="Arial" w:cs="Arial"/>
          <w:b/>
          <w:bCs/>
          <w:sz w:val="24"/>
          <w:szCs w:val="24"/>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37CC4EB6">
      <w:pPr>
        <w:pStyle w:val="17"/>
        <w:spacing w:after="0" w:line="360" w:lineRule="auto"/>
        <w:ind w:left="0"/>
        <w:jc w:val="both"/>
        <w:rPr>
          <w:rFonts w:ascii="Arial" w:hAnsi="Arial" w:cs="Arial"/>
          <w:sz w:val="24"/>
          <w:szCs w:val="24"/>
        </w:rPr>
      </w:pPr>
      <w:r>
        <w:rPr>
          <w:rFonts w:ascii="Arial" w:hAnsi="Arial" w:cs="Arial"/>
          <w:sz w:val="24"/>
          <w:szCs w:val="24"/>
        </w:rPr>
        <w:t>Destarte com fundamento nos atos normativos acima referenciados, levando em considera</w:t>
      </w:r>
      <w:r>
        <w:rPr>
          <w:rFonts w:hint="cs" w:ascii="Arial" w:hAnsi="Arial" w:cs="Arial"/>
          <w:sz w:val="24"/>
          <w:szCs w:val="24"/>
        </w:rPr>
        <w:t>çã</w:t>
      </w:r>
      <w:r>
        <w:rPr>
          <w:rFonts w:ascii="Arial" w:hAnsi="Arial" w:cs="Arial"/>
          <w:sz w:val="24"/>
          <w:szCs w:val="24"/>
        </w:rPr>
        <w:t>o a pesquisa de mercado. Foram analisadas contratações similares feitas por outros órgãos e entidades, conforme relatório de pesquisa de preços do “Bancodeprecos.com.br”. Essa abordagem permitiu uma estimativa precisa e fundamentada dos custos envolvidos na compra. Ressalvando que os valores apresentados são referenciais e passíveis de ajustes, visando garantir a eficiência e economicidade na utilização dos recursos públicos.</w:t>
      </w:r>
    </w:p>
    <w:p w14:paraId="2289E906">
      <w:pPr>
        <w:pStyle w:val="17"/>
        <w:spacing w:after="0" w:line="360" w:lineRule="auto"/>
        <w:ind w:left="0"/>
        <w:jc w:val="both"/>
        <w:rPr>
          <w:rFonts w:ascii="Arial" w:hAnsi="Arial" w:cs="Arial"/>
          <w:sz w:val="24"/>
          <w:szCs w:val="24"/>
        </w:rPr>
      </w:pPr>
    </w:p>
    <w:tbl>
      <w:tblPr>
        <w:tblStyle w:val="7"/>
        <w:tblW w:w="9099" w:type="dxa"/>
        <w:tblInd w:w="70" w:type="dxa"/>
        <w:tblLayout w:type="fixed"/>
        <w:tblCellMar>
          <w:top w:w="0" w:type="dxa"/>
          <w:left w:w="70" w:type="dxa"/>
          <w:bottom w:w="0" w:type="dxa"/>
          <w:right w:w="70" w:type="dxa"/>
        </w:tblCellMar>
      </w:tblPr>
      <w:tblGrid>
        <w:gridCol w:w="737"/>
        <w:gridCol w:w="992"/>
        <w:gridCol w:w="737"/>
        <w:gridCol w:w="3630"/>
        <w:gridCol w:w="1417"/>
        <w:gridCol w:w="1586"/>
      </w:tblGrid>
      <w:tr w14:paraId="02D84BC2">
        <w:tblPrEx>
          <w:tblCellMar>
            <w:top w:w="0" w:type="dxa"/>
            <w:left w:w="70" w:type="dxa"/>
            <w:bottom w:w="0" w:type="dxa"/>
            <w:right w:w="70" w:type="dxa"/>
          </w:tblCellMar>
        </w:tblPrEx>
        <w:trPr>
          <w:trHeight w:val="454"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36EDC3F2">
            <w:pPr>
              <w:spacing w:before="120" w:after="120"/>
              <w:jc w:val="center"/>
              <w:rPr>
                <w:rFonts w:ascii="Arial" w:hAnsi="Arial" w:cs="Arial"/>
                <w:color w:val="000000"/>
                <w:sz w:val="18"/>
                <w:szCs w:val="18"/>
                <w:lang w:eastAsia="pt-BR"/>
              </w:rPr>
            </w:pPr>
            <w:bookmarkStart w:id="5" w:name="_Hlk157774909"/>
            <w:r>
              <w:rPr>
                <w:rFonts w:ascii="Arial" w:hAnsi="Arial" w:cs="Arial"/>
                <w:color w:val="000000"/>
                <w:sz w:val="18"/>
                <w:szCs w:val="18"/>
                <w:lang w:eastAsia="pt-BR"/>
              </w:rPr>
              <w:t>ITEM</w:t>
            </w:r>
          </w:p>
        </w:tc>
        <w:tc>
          <w:tcPr>
            <w:tcW w:w="992" w:type="dxa"/>
            <w:tcBorders>
              <w:top w:val="single" w:color="auto" w:sz="12" w:space="0"/>
              <w:left w:val="nil"/>
              <w:bottom w:val="single" w:color="auto" w:sz="12" w:space="0"/>
              <w:right w:val="single" w:color="auto" w:sz="12" w:space="0"/>
            </w:tcBorders>
            <w:shd w:val="clear" w:color="auto" w:fill="auto"/>
            <w:vAlign w:val="center"/>
          </w:tcPr>
          <w:p w14:paraId="5A82D908">
            <w:pPr>
              <w:spacing w:before="120" w:after="120"/>
              <w:jc w:val="center"/>
              <w:rPr>
                <w:rFonts w:ascii="Arial" w:hAnsi="Arial" w:cs="Arial"/>
                <w:color w:val="000000"/>
                <w:sz w:val="18"/>
                <w:szCs w:val="18"/>
                <w:lang w:eastAsia="pt-BR"/>
              </w:rPr>
            </w:pPr>
            <w:r>
              <w:rPr>
                <w:rFonts w:ascii="Arial" w:hAnsi="Arial" w:cs="Arial"/>
                <w:color w:val="000000"/>
                <w:sz w:val="18"/>
                <w:szCs w:val="18"/>
                <w:lang w:eastAsia="pt-BR"/>
              </w:rPr>
              <w:t>QUANT</w:t>
            </w:r>
          </w:p>
        </w:tc>
        <w:tc>
          <w:tcPr>
            <w:tcW w:w="737" w:type="dxa"/>
            <w:tcBorders>
              <w:top w:val="single" w:color="auto" w:sz="12" w:space="0"/>
              <w:left w:val="nil"/>
              <w:bottom w:val="single" w:color="auto" w:sz="12" w:space="0"/>
              <w:right w:val="single" w:color="auto" w:sz="12" w:space="0"/>
            </w:tcBorders>
            <w:vAlign w:val="center"/>
          </w:tcPr>
          <w:p w14:paraId="68CCDD19">
            <w:pPr>
              <w:spacing w:before="120" w:after="120"/>
              <w:ind w:left="-57"/>
              <w:jc w:val="center"/>
              <w:rPr>
                <w:rFonts w:ascii="Arial" w:hAnsi="Arial" w:cs="Arial"/>
                <w:color w:val="000000"/>
                <w:sz w:val="18"/>
                <w:szCs w:val="18"/>
                <w:lang w:eastAsia="pt-BR"/>
              </w:rPr>
            </w:pPr>
            <w:r>
              <w:rPr>
                <w:rFonts w:ascii="Arial" w:hAnsi="Arial" w:cs="Arial"/>
                <w:color w:val="000000"/>
                <w:sz w:val="18"/>
                <w:szCs w:val="18"/>
                <w:lang w:eastAsia="pt-BR"/>
              </w:rPr>
              <w:t>UNID</w:t>
            </w:r>
          </w:p>
        </w:tc>
        <w:tc>
          <w:tcPr>
            <w:tcW w:w="3630" w:type="dxa"/>
            <w:tcBorders>
              <w:top w:val="single" w:color="auto" w:sz="12" w:space="0"/>
              <w:left w:val="single" w:color="auto" w:sz="12" w:space="0"/>
              <w:bottom w:val="single" w:color="auto" w:sz="12" w:space="0"/>
              <w:right w:val="single" w:color="auto" w:sz="12" w:space="0"/>
            </w:tcBorders>
            <w:vAlign w:val="center"/>
          </w:tcPr>
          <w:p w14:paraId="164AF614">
            <w:pPr>
              <w:jc w:val="center"/>
              <w:rPr>
                <w:rFonts w:ascii="Arial" w:hAnsi="Arial" w:cs="Arial"/>
                <w:color w:val="000000"/>
                <w:sz w:val="18"/>
                <w:szCs w:val="18"/>
                <w:lang w:eastAsia="pt-BR"/>
              </w:rPr>
            </w:pPr>
            <w:r>
              <w:rPr>
                <w:rFonts w:ascii="Arial" w:hAnsi="Arial" w:cs="Arial"/>
                <w:color w:val="000000"/>
                <w:sz w:val="18"/>
                <w:szCs w:val="18"/>
                <w:lang w:eastAsia="pt-BR"/>
              </w:rPr>
              <w:t>PRODUTO/DESCRIÇÃO</w:t>
            </w:r>
          </w:p>
        </w:tc>
        <w:tc>
          <w:tcPr>
            <w:tcW w:w="1417" w:type="dxa"/>
            <w:tcBorders>
              <w:top w:val="single" w:color="auto" w:sz="12" w:space="0"/>
              <w:left w:val="single" w:color="auto" w:sz="12" w:space="0"/>
              <w:bottom w:val="single" w:color="auto" w:sz="12" w:space="0"/>
              <w:right w:val="single" w:color="auto" w:sz="12" w:space="0"/>
            </w:tcBorders>
          </w:tcPr>
          <w:p w14:paraId="54CF299E">
            <w:pPr>
              <w:spacing w:before="120" w:after="120"/>
              <w:jc w:val="center"/>
              <w:rPr>
                <w:rFonts w:ascii="Arial" w:hAnsi="Arial" w:cs="Arial"/>
                <w:color w:val="000000"/>
                <w:sz w:val="18"/>
                <w:szCs w:val="18"/>
                <w:lang w:eastAsia="pt-BR"/>
              </w:rPr>
            </w:pPr>
            <w:r>
              <w:rPr>
                <w:rFonts w:ascii="Arial" w:hAnsi="Arial" w:cs="Arial"/>
                <w:color w:val="000000"/>
                <w:sz w:val="18"/>
                <w:szCs w:val="18"/>
                <w:lang w:eastAsia="pt-BR"/>
              </w:rPr>
              <w:t>VALOR MÉDIO UNITÁRIO</w:t>
            </w:r>
          </w:p>
        </w:tc>
        <w:tc>
          <w:tcPr>
            <w:tcW w:w="1586" w:type="dxa"/>
            <w:tcBorders>
              <w:top w:val="single" w:color="auto" w:sz="12" w:space="0"/>
              <w:left w:val="single" w:color="auto" w:sz="12" w:space="0"/>
              <w:bottom w:val="single" w:color="auto" w:sz="12" w:space="0"/>
              <w:right w:val="single" w:color="auto" w:sz="12" w:space="0"/>
            </w:tcBorders>
          </w:tcPr>
          <w:p w14:paraId="2A7C6FC3">
            <w:pPr>
              <w:spacing w:before="120" w:after="120"/>
              <w:jc w:val="center"/>
              <w:rPr>
                <w:rFonts w:ascii="Arial" w:hAnsi="Arial" w:cs="Arial"/>
                <w:color w:val="000000"/>
                <w:sz w:val="18"/>
                <w:szCs w:val="18"/>
                <w:lang w:eastAsia="pt-BR"/>
              </w:rPr>
            </w:pPr>
            <w:r>
              <w:rPr>
                <w:rFonts w:ascii="Arial" w:hAnsi="Arial" w:cs="Arial"/>
                <w:color w:val="000000"/>
                <w:sz w:val="18"/>
                <w:szCs w:val="18"/>
                <w:lang w:eastAsia="pt-BR"/>
              </w:rPr>
              <w:t>VALOR MÉDIO TOTAL</w:t>
            </w:r>
          </w:p>
        </w:tc>
      </w:tr>
      <w:tr w14:paraId="49DC8768">
        <w:tblPrEx>
          <w:tblCellMar>
            <w:top w:w="0" w:type="dxa"/>
            <w:left w:w="70" w:type="dxa"/>
            <w:bottom w:w="0" w:type="dxa"/>
            <w:right w:w="70" w:type="dxa"/>
          </w:tblCellMar>
        </w:tblPrEx>
        <w:trPr>
          <w:trHeight w:val="2608"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0CC596FA">
            <w:pPr>
              <w:numPr>
                <w:ilvl w:val="0"/>
                <w:numId w:val="15"/>
              </w:numPr>
              <w:suppressAutoHyphens w:val="0"/>
              <w:ind w:left="530"/>
              <w:jc w:val="center"/>
              <w:rPr>
                <w:rFonts w:ascii="Arial" w:hAnsi="Arial" w:cs="Arial"/>
                <w:color w:val="000000"/>
                <w:sz w:val="24"/>
                <w:szCs w:val="24"/>
                <w:lang w:eastAsia="pt-BR"/>
              </w:rPr>
            </w:pPr>
          </w:p>
        </w:tc>
        <w:tc>
          <w:tcPr>
            <w:tcW w:w="992" w:type="dxa"/>
            <w:tcBorders>
              <w:top w:val="single" w:color="auto" w:sz="12" w:space="0"/>
              <w:left w:val="nil"/>
              <w:bottom w:val="single" w:color="auto" w:sz="12" w:space="0"/>
              <w:right w:val="single" w:color="auto" w:sz="12" w:space="0"/>
            </w:tcBorders>
            <w:shd w:val="clear" w:color="auto" w:fill="auto"/>
            <w:vAlign w:val="center"/>
          </w:tcPr>
          <w:p w14:paraId="133DADC5">
            <w:pPr>
              <w:jc w:val="center"/>
              <w:textAlignment w:val="baseline"/>
              <w:rPr>
                <w:rFonts w:ascii="Arial" w:hAnsi="Arial" w:cs="Arial"/>
                <w:sz w:val="24"/>
                <w:szCs w:val="24"/>
              </w:rPr>
            </w:pPr>
            <w:r>
              <w:rPr>
                <w:rFonts w:ascii="Arial" w:hAnsi="Arial" w:cs="Arial"/>
                <w:sz w:val="24"/>
                <w:szCs w:val="24"/>
              </w:rPr>
              <w:t>134</w:t>
            </w:r>
          </w:p>
        </w:tc>
        <w:tc>
          <w:tcPr>
            <w:tcW w:w="737" w:type="dxa"/>
            <w:tcBorders>
              <w:top w:val="single" w:color="auto" w:sz="12" w:space="0"/>
              <w:left w:val="nil"/>
              <w:bottom w:val="single" w:color="auto" w:sz="12" w:space="0"/>
              <w:right w:val="single" w:color="auto" w:sz="12" w:space="0"/>
            </w:tcBorders>
            <w:vAlign w:val="center"/>
          </w:tcPr>
          <w:p w14:paraId="404013D7">
            <w:pPr>
              <w:jc w:val="center"/>
              <w:rPr>
                <w:rFonts w:ascii="Arial" w:hAnsi="Arial" w:cs="Arial"/>
                <w:sz w:val="24"/>
                <w:szCs w:val="24"/>
                <w:highlight w:val="yellow"/>
              </w:rPr>
            </w:pPr>
            <w:r>
              <w:rPr>
                <w:rFonts w:ascii="Arial" w:hAnsi="Arial" w:cs="Arial"/>
                <w:sz w:val="24"/>
                <w:szCs w:val="24"/>
              </w:rPr>
              <w:t>PAR</w:t>
            </w:r>
          </w:p>
        </w:tc>
        <w:tc>
          <w:tcPr>
            <w:tcW w:w="3630" w:type="dxa"/>
            <w:tcBorders>
              <w:top w:val="single" w:color="auto" w:sz="12" w:space="0"/>
              <w:left w:val="single" w:color="auto" w:sz="12" w:space="0"/>
              <w:bottom w:val="single" w:color="auto" w:sz="12" w:space="0"/>
              <w:right w:val="single" w:color="auto" w:sz="12" w:space="0"/>
            </w:tcBorders>
          </w:tcPr>
          <w:p w14:paraId="67915412">
            <w:pPr>
              <w:spacing w:before="120" w:after="120"/>
              <w:jc w:val="center"/>
              <w:textAlignment w:val="baseline"/>
              <w:rPr>
                <w:rFonts w:ascii="Arial" w:hAnsi="Arial" w:cs="Arial"/>
                <w:b/>
                <w:sz w:val="24"/>
                <w:szCs w:val="24"/>
              </w:rPr>
            </w:pPr>
            <w:r>
              <w:rPr>
                <w:rFonts w:ascii="Arial" w:hAnsi="Arial" w:cs="Arial"/>
                <w:b/>
                <w:sz w:val="24"/>
                <w:szCs w:val="24"/>
              </w:rPr>
              <w:t xml:space="preserve">Tênis para uso Escolar - </w:t>
            </w:r>
          </w:p>
          <w:p w14:paraId="0DD0C8AE">
            <w:pPr>
              <w:spacing w:before="120" w:after="120"/>
              <w:jc w:val="both"/>
              <w:textAlignment w:val="baseline"/>
              <w:rPr>
                <w:rFonts w:ascii="Arial" w:hAnsi="Arial" w:cs="Arial"/>
                <w:sz w:val="24"/>
                <w:szCs w:val="24"/>
                <w:lang w:eastAsia="pt-BR"/>
              </w:rPr>
            </w:pPr>
            <w:r>
              <w:rPr>
                <w:rFonts w:ascii="Arial" w:hAnsi="Arial" w:cs="Arial"/>
                <w:sz w:val="24"/>
                <w:szCs w:val="24"/>
                <w:lang w:eastAsia="pt-BR"/>
              </w:rPr>
              <w:t>Tênis para uso escolar grade 18 ao 25 fechamento em Cadarço, apropriado para caminhadas, corridas leves, prática de esportes difusos moderados, uso diário, leve, versátil, resistente, duradouro, confortável, produzido e confeccionado a partir de duas partes distintas (CABEDAL e SOLADO) nas quais são unidas pelo processo de adesivos a base de água, trazendo benefícios ao meio ambiente no qual não receberá dejetos químicos dos adesivos.</w:t>
            </w:r>
          </w:p>
          <w:p w14:paraId="6A9E20CE">
            <w:pPr>
              <w:spacing w:before="120" w:after="120"/>
              <w:jc w:val="both"/>
              <w:textAlignment w:val="baseline"/>
              <w:rPr>
                <w:rFonts w:ascii="Arial" w:hAnsi="Arial" w:cs="Arial"/>
                <w:sz w:val="24"/>
                <w:szCs w:val="24"/>
                <w:lang w:eastAsia="pt-BR"/>
              </w:rPr>
            </w:pPr>
            <w:r>
              <w:rPr>
                <w:rFonts w:ascii="Arial" w:hAnsi="Arial" w:cs="Arial"/>
                <w:color w:val="000000"/>
                <w:sz w:val="24"/>
                <w:szCs w:val="24"/>
                <w:lang w:eastAsia="pt-BR"/>
              </w:rPr>
              <w:t>QUANTIDADE POR TAMANHOS:</w:t>
            </w:r>
          </w:p>
          <w:p w14:paraId="11D36524">
            <w:pPr>
              <w:spacing w:after="60"/>
              <w:jc w:val="center"/>
              <w:textAlignment w:val="baseline"/>
              <w:rPr>
                <w:rFonts w:ascii="Arial" w:hAnsi="Arial" w:cs="Arial"/>
                <w:sz w:val="24"/>
                <w:szCs w:val="24"/>
              </w:rPr>
            </w:pPr>
            <w:r>
              <w:rPr>
                <w:rFonts w:ascii="Arial" w:hAnsi="Arial" w:cs="Arial"/>
                <w:sz w:val="24"/>
                <w:szCs w:val="24"/>
              </w:rPr>
              <w:t>Tamanho Nº 18 = 12 Pares</w:t>
            </w:r>
          </w:p>
          <w:p w14:paraId="75DBD29E">
            <w:pPr>
              <w:spacing w:after="60"/>
              <w:jc w:val="center"/>
              <w:textAlignment w:val="baseline"/>
              <w:rPr>
                <w:rFonts w:ascii="Arial" w:hAnsi="Arial" w:cs="Arial"/>
                <w:sz w:val="24"/>
                <w:szCs w:val="24"/>
              </w:rPr>
            </w:pPr>
            <w:r>
              <w:rPr>
                <w:rFonts w:ascii="Arial" w:hAnsi="Arial" w:cs="Arial"/>
                <w:sz w:val="24"/>
                <w:szCs w:val="24"/>
              </w:rPr>
              <w:t>Tamanho Nº 19 = 15 Pares</w:t>
            </w:r>
          </w:p>
          <w:p w14:paraId="0D2BEE9D">
            <w:pPr>
              <w:spacing w:after="60"/>
              <w:jc w:val="center"/>
              <w:textAlignment w:val="baseline"/>
              <w:rPr>
                <w:rFonts w:ascii="Arial" w:hAnsi="Arial" w:cs="Arial"/>
                <w:sz w:val="24"/>
                <w:szCs w:val="24"/>
              </w:rPr>
            </w:pPr>
            <w:r>
              <w:rPr>
                <w:rFonts w:ascii="Arial" w:hAnsi="Arial" w:cs="Arial"/>
                <w:sz w:val="24"/>
                <w:szCs w:val="24"/>
              </w:rPr>
              <w:t>Tamanho Nº 20 = 13 Pares</w:t>
            </w:r>
          </w:p>
          <w:p w14:paraId="696DB035">
            <w:pPr>
              <w:spacing w:after="60"/>
              <w:jc w:val="center"/>
              <w:textAlignment w:val="baseline"/>
              <w:rPr>
                <w:rFonts w:ascii="Arial" w:hAnsi="Arial" w:cs="Arial"/>
                <w:sz w:val="24"/>
                <w:szCs w:val="24"/>
              </w:rPr>
            </w:pPr>
            <w:r>
              <w:rPr>
                <w:rFonts w:ascii="Arial" w:hAnsi="Arial" w:cs="Arial"/>
                <w:sz w:val="24"/>
                <w:szCs w:val="24"/>
              </w:rPr>
              <w:t>Tamanho Nº 21 = 13 Pares</w:t>
            </w:r>
          </w:p>
          <w:p w14:paraId="300DE3C8">
            <w:pPr>
              <w:spacing w:after="60"/>
              <w:jc w:val="center"/>
              <w:textAlignment w:val="baseline"/>
              <w:rPr>
                <w:rFonts w:ascii="Arial" w:hAnsi="Arial" w:cs="Arial"/>
                <w:sz w:val="24"/>
                <w:szCs w:val="24"/>
              </w:rPr>
            </w:pPr>
            <w:r>
              <w:rPr>
                <w:rFonts w:ascii="Arial" w:hAnsi="Arial" w:cs="Arial"/>
                <w:sz w:val="24"/>
                <w:szCs w:val="24"/>
              </w:rPr>
              <w:t>Tamanho Nº 22 = 15 Pares</w:t>
            </w:r>
          </w:p>
          <w:p w14:paraId="1FE8332B">
            <w:pPr>
              <w:spacing w:after="60"/>
              <w:jc w:val="center"/>
              <w:textAlignment w:val="baseline"/>
              <w:rPr>
                <w:rFonts w:ascii="Arial" w:hAnsi="Arial" w:cs="Arial"/>
                <w:sz w:val="24"/>
                <w:szCs w:val="24"/>
              </w:rPr>
            </w:pPr>
            <w:r>
              <w:rPr>
                <w:rFonts w:ascii="Arial" w:hAnsi="Arial" w:cs="Arial"/>
                <w:sz w:val="24"/>
                <w:szCs w:val="24"/>
              </w:rPr>
              <w:t>Tamanho Nº 23 = 22 Pares</w:t>
            </w:r>
          </w:p>
          <w:p w14:paraId="29FFC559">
            <w:pPr>
              <w:spacing w:after="60"/>
              <w:jc w:val="center"/>
              <w:textAlignment w:val="baseline"/>
              <w:rPr>
                <w:rFonts w:ascii="Arial" w:hAnsi="Arial" w:cs="Arial"/>
                <w:sz w:val="24"/>
                <w:szCs w:val="24"/>
              </w:rPr>
            </w:pPr>
            <w:r>
              <w:rPr>
                <w:rFonts w:ascii="Arial" w:hAnsi="Arial" w:cs="Arial"/>
                <w:sz w:val="24"/>
                <w:szCs w:val="24"/>
              </w:rPr>
              <w:t>Tamanho Nº 24 = 16 Pares</w:t>
            </w:r>
          </w:p>
          <w:p w14:paraId="7545FE90">
            <w:pPr>
              <w:spacing w:after="60"/>
              <w:jc w:val="center"/>
              <w:textAlignment w:val="baseline"/>
              <w:rPr>
                <w:highlight w:val="yellow"/>
              </w:rPr>
            </w:pPr>
            <w:r>
              <w:rPr>
                <w:rFonts w:ascii="Arial" w:hAnsi="Arial" w:cs="Arial"/>
                <w:sz w:val="24"/>
                <w:szCs w:val="24"/>
              </w:rPr>
              <w:t>Tamanho Nº 25 = 28 Pares</w:t>
            </w:r>
          </w:p>
        </w:tc>
        <w:tc>
          <w:tcPr>
            <w:tcW w:w="1417" w:type="dxa"/>
            <w:tcBorders>
              <w:top w:val="single" w:color="auto" w:sz="12" w:space="0"/>
              <w:left w:val="single" w:color="auto" w:sz="12" w:space="0"/>
              <w:bottom w:val="single" w:color="auto" w:sz="12" w:space="0"/>
              <w:right w:val="single" w:color="auto" w:sz="12" w:space="0"/>
            </w:tcBorders>
            <w:vAlign w:val="center"/>
          </w:tcPr>
          <w:p w14:paraId="1943C3E4">
            <w:pPr>
              <w:spacing w:line="360" w:lineRule="auto"/>
              <w:jc w:val="center"/>
              <w:rPr>
                <w:rFonts w:ascii="Arial" w:hAnsi="Arial" w:cs="Arial"/>
                <w:b/>
                <w:sz w:val="24"/>
                <w:szCs w:val="24"/>
                <w:highlight w:val="yellow"/>
              </w:rPr>
            </w:pPr>
            <w:r>
              <w:rPr>
                <w:rFonts w:ascii="Arial" w:hAnsi="Arial" w:cs="Arial"/>
                <w:sz w:val="24"/>
                <w:szCs w:val="24"/>
              </w:rPr>
              <w:t xml:space="preserve">R$ 85,43 </w:t>
            </w:r>
          </w:p>
        </w:tc>
        <w:tc>
          <w:tcPr>
            <w:tcW w:w="1586" w:type="dxa"/>
            <w:tcBorders>
              <w:top w:val="single" w:color="auto" w:sz="12" w:space="0"/>
              <w:left w:val="single" w:color="auto" w:sz="12" w:space="0"/>
              <w:bottom w:val="single" w:color="auto" w:sz="12" w:space="0"/>
              <w:right w:val="single" w:color="auto" w:sz="12" w:space="0"/>
            </w:tcBorders>
            <w:vAlign w:val="center"/>
          </w:tcPr>
          <w:p w14:paraId="57BEB2C1">
            <w:pPr>
              <w:spacing w:line="360" w:lineRule="auto"/>
              <w:jc w:val="center"/>
              <w:rPr>
                <w:rFonts w:ascii="Arial" w:hAnsi="Arial" w:cs="Arial"/>
                <w:b/>
                <w:sz w:val="24"/>
                <w:szCs w:val="24"/>
                <w:highlight w:val="yellow"/>
              </w:rPr>
            </w:pPr>
            <w:r>
              <w:rPr>
                <w:rFonts w:ascii="Arial" w:hAnsi="Arial" w:cs="Arial"/>
                <w:sz w:val="24"/>
                <w:szCs w:val="24"/>
              </w:rPr>
              <w:t>R$ 11.447,62</w:t>
            </w:r>
          </w:p>
        </w:tc>
      </w:tr>
      <w:bookmarkEnd w:id="5"/>
    </w:tbl>
    <w:p w14:paraId="077C921C">
      <w:pPr>
        <w:pStyle w:val="17"/>
        <w:widowControl w:val="0"/>
        <w:autoSpaceDE w:val="0"/>
        <w:autoSpaceDN w:val="0"/>
        <w:spacing w:after="0" w:line="360" w:lineRule="auto"/>
        <w:ind w:left="0"/>
        <w:contextualSpacing w:val="0"/>
        <w:jc w:val="both"/>
        <w:rPr>
          <w:rFonts w:ascii="Arial" w:hAnsi="Arial" w:cs="Arial"/>
          <w:sz w:val="16"/>
          <w:szCs w:val="16"/>
          <w:highlight w:val="yellow"/>
        </w:rPr>
      </w:pPr>
    </w:p>
    <w:p w14:paraId="5072CD9A">
      <w:pPr>
        <w:pStyle w:val="17"/>
        <w:widowControl w:val="0"/>
        <w:autoSpaceDE w:val="0"/>
        <w:autoSpaceDN w:val="0"/>
        <w:spacing w:after="0" w:line="360" w:lineRule="auto"/>
        <w:ind w:left="0"/>
        <w:contextualSpacing w:val="0"/>
        <w:jc w:val="both"/>
        <w:rPr>
          <w:rFonts w:ascii="Arial" w:hAnsi="Arial" w:cs="Arial"/>
          <w:b/>
          <w:bCs/>
          <w:sz w:val="24"/>
          <w:szCs w:val="24"/>
          <w:highlight w:val="yellow"/>
        </w:rPr>
      </w:pPr>
      <w:r>
        <w:rPr>
          <w:rFonts w:ascii="Arial" w:hAnsi="Arial" w:cs="Arial"/>
          <w:sz w:val="24"/>
          <w:szCs w:val="24"/>
        </w:rPr>
        <w:t xml:space="preserve">9.2 Em observância ao art. 23, §1º, II, da Lei 14.133/21, com base no levantamento de mercador) temos a estimativa do valor da contratação de </w:t>
      </w:r>
      <w:r>
        <w:rPr>
          <w:rFonts w:ascii="Arial" w:hAnsi="Arial" w:cs="Arial"/>
          <w:b/>
          <w:sz w:val="24"/>
          <w:szCs w:val="24"/>
        </w:rPr>
        <w:t xml:space="preserve">R$ 11.447,62 </w:t>
      </w:r>
      <w:r>
        <w:rPr>
          <w:rFonts w:ascii="Arial" w:hAnsi="Arial" w:cs="Arial"/>
          <w:sz w:val="24"/>
          <w:szCs w:val="24"/>
        </w:rPr>
        <w:t>(onze mil e quatrocentos e quarenta e sete reais e sessenta e dois centavos).</w:t>
      </w:r>
      <w:r>
        <w:rPr>
          <w:rFonts w:ascii="Arial" w:hAnsi="Arial" w:cs="Arial"/>
          <w:sz w:val="24"/>
          <w:szCs w:val="24"/>
          <w:highlight w:val="yellow"/>
        </w:rPr>
        <w:t xml:space="preserve"> </w:t>
      </w:r>
    </w:p>
    <w:p w14:paraId="6E288B72">
      <w:pPr>
        <w:spacing w:line="360" w:lineRule="auto"/>
        <w:jc w:val="both"/>
        <w:rPr>
          <w:rFonts w:ascii="Arial" w:hAnsi="Arial" w:cs="Arial"/>
          <w:b/>
          <w:bCs/>
          <w:sz w:val="16"/>
          <w:szCs w:val="16"/>
          <w:highlight w:val="yellow"/>
        </w:rPr>
      </w:pPr>
    </w:p>
    <w:p w14:paraId="5EFC6EB7">
      <w:pPr>
        <w:spacing w:line="360" w:lineRule="auto"/>
        <w:jc w:val="both"/>
        <w:rPr>
          <w:rFonts w:ascii="Arial" w:hAnsi="Arial" w:cs="Arial"/>
          <w:b/>
          <w:bCs/>
          <w:sz w:val="24"/>
          <w:szCs w:val="24"/>
        </w:rPr>
      </w:pPr>
      <w:r>
        <w:rPr>
          <w:rFonts w:ascii="Arial" w:hAnsi="Arial" w:cs="Arial"/>
          <w:b/>
          <w:bCs/>
          <w:sz w:val="24"/>
          <w:szCs w:val="24"/>
        </w:rPr>
        <w:t>10 - Adequação orçamentária;</w:t>
      </w:r>
    </w:p>
    <w:p w14:paraId="4C2D6E88">
      <w:pPr>
        <w:spacing w:line="360" w:lineRule="auto"/>
        <w:jc w:val="both"/>
        <w:rPr>
          <w:rFonts w:ascii="Arial" w:hAnsi="Arial" w:cs="Arial"/>
          <w:b/>
          <w:bCs/>
          <w:sz w:val="16"/>
          <w:szCs w:val="16"/>
          <w:highlight w:val="yellow"/>
        </w:rPr>
      </w:pPr>
    </w:p>
    <w:p w14:paraId="06FA24C1">
      <w:pPr>
        <w:spacing w:line="360" w:lineRule="auto"/>
        <w:jc w:val="both"/>
        <w:rPr>
          <w:rFonts w:ascii="Arial" w:hAnsi="Arial" w:cs="Arial"/>
          <w:sz w:val="24"/>
          <w:szCs w:val="24"/>
        </w:rPr>
      </w:pPr>
      <w:r>
        <w:rPr>
          <w:rFonts w:ascii="Arial" w:hAnsi="Arial" w:cs="Arial"/>
          <w:sz w:val="24"/>
          <w:szCs w:val="24"/>
        </w:rPr>
        <w:t>CÓDIGO DA FICHA: 30</w:t>
      </w:r>
    </w:p>
    <w:p w14:paraId="0B978128">
      <w:pPr>
        <w:spacing w:line="360" w:lineRule="auto"/>
        <w:jc w:val="both"/>
        <w:rPr>
          <w:rFonts w:ascii="Arial" w:hAnsi="Arial" w:cs="Arial"/>
          <w:sz w:val="24"/>
          <w:szCs w:val="24"/>
        </w:rPr>
      </w:pPr>
      <w:r>
        <w:rPr>
          <w:rFonts w:ascii="Arial" w:hAnsi="Arial" w:cs="Arial"/>
          <w:sz w:val="24"/>
          <w:szCs w:val="24"/>
        </w:rPr>
        <w:t>Órgão: 02 PREFEITURA MUNICIPAL</w:t>
      </w:r>
    </w:p>
    <w:p w14:paraId="0C6FCE54">
      <w:pPr>
        <w:spacing w:line="360" w:lineRule="auto"/>
        <w:jc w:val="both"/>
        <w:rPr>
          <w:rFonts w:ascii="Arial" w:hAnsi="Arial" w:cs="Arial"/>
          <w:sz w:val="24"/>
          <w:szCs w:val="24"/>
        </w:rPr>
      </w:pPr>
      <w:r>
        <w:rPr>
          <w:rFonts w:ascii="Arial" w:hAnsi="Arial" w:cs="Arial"/>
          <w:sz w:val="24"/>
          <w:szCs w:val="24"/>
        </w:rPr>
        <w:t>Unidade: 03 SECRETARIA MUNICIPAL DE GOVERNO</w:t>
      </w:r>
    </w:p>
    <w:p w14:paraId="197E78F4">
      <w:pPr>
        <w:spacing w:line="360" w:lineRule="auto"/>
        <w:jc w:val="both"/>
        <w:rPr>
          <w:rFonts w:ascii="Arial" w:hAnsi="Arial" w:cs="Arial"/>
          <w:sz w:val="24"/>
          <w:szCs w:val="24"/>
          <w:highlight w:val="yellow"/>
        </w:rPr>
      </w:pPr>
      <w:r>
        <w:rPr>
          <w:rFonts w:ascii="Arial" w:hAnsi="Arial" w:cs="Arial"/>
          <w:sz w:val="24"/>
          <w:szCs w:val="24"/>
        </w:rPr>
        <w:t>Dotação: 04.124.0004.2004.0000</w:t>
      </w:r>
    </w:p>
    <w:p w14:paraId="2A84B2F0">
      <w:pPr>
        <w:spacing w:line="360" w:lineRule="auto"/>
        <w:jc w:val="both"/>
        <w:rPr>
          <w:rFonts w:ascii="Arial" w:hAnsi="Arial" w:cs="Arial"/>
          <w:sz w:val="24"/>
          <w:szCs w:val="24"/>
        </w:rPr>
      </w:pPr>
      <w:r>
        <w:rPr>
          <w:rFonts w:ascii="Arial" w:hAnsi="Arial" w:cs="Arial"/>
          <w:sz w:val="24"/>
          <w:szCs w:val="24"/>
        </w:rPr>
        <w:t>Planejamento, Avaliação e Monitoramento das Ações de Governo</w:t>
      </w:r>
    </w:p>
    <w:p w14:paraId="5E1CDBFD">
      <w:pPr>
        <w:spacing w:line="360" w:lineRule="auto"/>
        <w:jc w:val="both"/>
        <w:rPr>
          <w:rFonts w:ascii="Arial" w:hAnsi="Arial" w:cs="Arial"/>
          <w:bCs/>
          <w:sz w:val="24"/>
          <w:szCs w:val="24"/>
          <w:highlight w:val="yellow"/>
        </w:rPr>
      </w:pPr>
      <w:r>
        <w:rPr>
          <w:rFonts w:ascii="Arial" w:hAnsi="Arial" w:cs="Arial"/>
          <w:bCs/>
          <w:sz w:val="24"/>
          <w:szCs w:val="24"/>
        </w:rPr>
        <w:t>3.3.90.32.00 MATERIAL, BEM OU SERVIÇO PARA DISTRIBUIÇÃO GRATUITA</w:t>
      </w:r>
    </w:p>
    <w:p w14:paraId="5BEE87E0">
      <w:pPr>
        <w:spacing w:line="360" w:lineRule="auto"/>
        <w:jc w:val="both"/>
        <w:rPr>
          <w:rFonts w:ascii="Arial" w:hAnsi="Arial" w:eastAsia="Arial-BoldMT" w:cs="Arial"/>
          <w:b/>
          <w:bCs/>
          <w:sz w:val="24"/>
          <w:szCs w:val="24"/>
          <w:highlight w:val="yellow"/>
        </w:rPr>
      </w:pPr>
    </w:p>
    <w:p w14:paraId="68DF7FCD">
      <w:pPr>
        <w:spacing w:line="360" w:lineRule="auto"/>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0901751D">
      <w:pPr>
        <w:spacing w:line="360" w:lineRule="auto"/>
        <w:jc w:val="both"/>
        <w:rPr>
          <w:rFonts w:ascii="Arial" w:hAnsi="Arial" w:eastAsia="Arial-BoldMT" w:cs="Arial"/>
          <w:b/>
          <w:bCs/>
          <w:sz w:val="24"/>
          <w:szCs w:val="24"/>
        </w:rPr>
      </w:pPr>
    </w:p>
    <w:p w14:paraId="4C2668F4">
      <w:pPr>
        <w:adjustRightInd w:val="0"/>
        <w:spacing w:line="360" w:lineRule="auto"/>
        <w:jc w:val="both"/>
        <w:rPr>
          <w:rFonts w:ascii="Arial" w:hAnsi="Arial" w:eastAsia="Arial-BoldMT" w:cs="Arial"/>
          <w:b/>
          <w:bCs/>
          <w:sz w:val="24"/>
          <w:szCs w:val="24"/>
        </w:rPr>
      </w:pPr>
      <w:r>
        <w:rPr>
          <w:rFonts w:ascii="Arial" w:hAnsi="Arial" w:eastAsia="Calibri" w:cs="Arial"/>
          <w:sz w:val="24"/>
          <w:szCs w:val="24"/>
        </w:rPr>
        <w:t>As especificações dos produtos desta contratação estão descritas de forma detalhada na tabela apresentada no Item 1 deste Termo de Referência.</w:t>
      </w:r>
    </w:p>
    <w:p w14:paraId="20505D56">
      <w:pPr>
        <w:jc w:val="both"/>
        <w:rPr>
          <w:rFonts w:ascii="Arial" w:hAnsi="Arial" w:eastAsia="Arial-BoldMT" w:cs="Arial"/>
          <w:sz w:val="24"/>
          <w:szCs w:val="24"/>
          <w:highlight w:val="yellow"/>
        </w:rPr>
      </w:pPr>
    </w:p>
    <w:p w14:paraId="59115415">
      <w:pPr>
        <w:spacing w:line="360" w:lineRule="auto"/>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1F579F14">
      <w:pPr>
        <w:spacing w:line="360" w:lineRule="auto"/>
        <w:jc w:val="both"/>
        <w:rPr>
          <w:rFonts w:ascii="Arial" w:hAnsi="Arial" w:eastAsia="Arial-BoldMT" w:cs="Arial"/>
          <w:b/>
          <w:bCs/>
          <w:sz w:val="24"/>
          <w:szCs w:val="24"/>
        </w:rPr>
      </w:pPr>
      <w:r>
        <w:rPr>
          <w:rFonts w:ascii="Arial" w:hAnsi="Arial" w:eastAsia="Arial-BoldMT" w:cs="Arial"/>
          <w:sz w:val="24"/>
          <w:szCs w:val="24"/>
        </w:rPr>
        <w:t xml:space="preserve">A entrega será feita na Secretaria de Educação, Rua Barão de Rifaina, nº 390, Centro, Rifaina-SP, em horário das 07:00 às 16:00 </w:t>
      </w:r>
      <w:r>
        <w:rPr>
          <w:rFonts w:ascii="Arial" w:hAnsi="Arial" w:cs="Arial" w:eastAsiaTheme="majorEastAsia"/>
          <w:bCs/>
          <w:sz w:val="24"/>
          <w:szCs w:val="24"/>
        </w:rPr>
        <w:t>em dias úteis (Segunda a Sexta-feira).</w:t>
      </w:r>
    </w:p>
    <w:p w14:paraId="1941BCE5">
      <w:pPr>
        <w:spacing w:line="360" w:lineRule="auto"/>
        <w:jc w:val="both"/>
        <w:rPr>
          <w:rFonts w:ascii="Arial" w:hAnsi="Arial" w:eastAsia="Arial-BoldMT" w:cs="Arial"/>
          <w:sz w:val="24"/>
          <w:szCs w:val="24"/>
        </w:rPr>
      </w:pPr>
      <w:r>
        <w:rPr>
          <w:rFonts w:ascii="Arial" w:hAnsi="Arial" w:eastAsia="Arial-BoldMT" w:cs="Arial"/>
          <w:sz w:val="24"/>
          <w:szCs w:val="24"/>
        </w:rPr>
        <w:t>12.1. A Contratada obriga-se a entregar o(s) objeto(s) em conformidade com as especificações descritas neste Termo de Referência.</w:t>
      </w:r>
    </w:p>
    <w:p w14:paraId="68FAAF31">
      <w:pPr>
        <w:spacing w:line="360" w:lineRule="auto"/>
        <w:jc w:val="both"/>
        <w:rPr>
          <w:rFonts w:ascii="Arial" w:hAnsi="Arial" w:eastAsia="Arial-BoldMT" w:cs="Arial"/>
          <w:sz w:val="24"/>
          <w:szCs w:val="24"/>
        </w:rPr>
      </w:pPr>
      <w:r>
        <w:rPr>
          <w:rFonts w:ascii="Arial" w:hAnsi="Arial" w:eastAsia="Arial-BoldMT" w:cs="Arial"/>
          <w:sz w:val="24"/>
          <w:szCs w:val="24"/>
        </w:rPr>
        <w:t>12.2. Os objetos deverão ser entregues embalados, de forma a não serem danificados durante as operações de transporte e descarga no local da entrega.</w:t>
      </w:r>
    </w:p>
    <w:p w14:paraId="29FD251C">
      <w:pPr>
        <w:spacing w:line="360" w:lineRule="auto"/>
        <w:jc w:val="both"/>
        <w:rPr>
          <w:rFonts w:ascii="Arial" w:hAnsi="Arial" w:eastAsia="Arial-BoldMT" w:cs="Arial"/>
          <w:sz w:val="24"/>
          <w:szCs w:val="24"/>
        </w:rPr>
      </w:pPr>
      <w:r>
        <w:rPr>
          <w:rFonts w:ascii="Arial" w:hAnsi="Arial" w:eastAsia="Arial-BoldMT" w:cs="Arial"/>
          <w:sz w:val="24"/>
          <w:szCs w:val="24"/>
        </w:rPr>
        <w:t>12.3. Todas as despesas relativas à entrega e transporte dos objetos licitados, bem como todos os impostos, taxas e demais despesas decorrentes do contrato correrão por conta exclusiva da Contratada.</w:t>
      </w:r>
    </w:p>
    <w:p w14:paraId="7217C180">
      <w:pPr>
        <w:spacing w:line="360" w:lineRule="auto"/>
        <w:jc w:val="both"/>
        <w:rPr>
          <w:rFonts w:ascii="Arial" w:hAnsi="Arial" w:eastAsia="Arial-BoldMT" w:cs="Arial"/>
          <w:sz w:val="24"/>
          <w:szCs w:val="24"/>
        </w:rPr>
      </w:pPr>
      <w:r>
        <w:rPr>
          <w:rFonts w:ascii="Arial" w:hAnsi="Arial" w:eastAsia="Arial-BoldMT" w:cs="Arial"/>
          <w:sz w:val="24"/>
          <w:szCs w:val="24"/>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3959943A">
      <w:pPr>
        <w:spacing w:line="360" w:lineRule="auto"/>
        <w:jc w:val="both"/>
        <w:rPr>
          <w:rFonts w:ascii="Arial" w:hAnsi="Arial" w:eastAsia="Arial-BoldMT" w:cs="Arial"/>
          <w:sz w:val="24"/>
          <w:szCs w:val="24"/>
        </w:rPr>
      </w:pPr>
      <w:r>
        <w:rPr>
          <w:rFonts w:ascii="Arial" w:hAnsi="Arial" w:eastAsia="Arial-BoldMT" w:cs="Arial"/>
          <w:sz w:val="24"/>
          <w:szCs w:val="24"/>
        </w:rPr>
        <w:t>12.5. O objeto será recebido provisoriamente, de forma sumária, no prazo de 07 (sete) dias, pelo responsável pelo acompanhamento e fiscalização do contrato, para efeito de posterior verificação de sua conformidade com as especificações constantes neste Termo de Referência e na proposta.</w:t>
      </w:r>
    </w:p>
    <w:p w14:paraId="3AF8483B">
      <w:pPr>
        <w:spacing w:line="360" w:lineRule="auto"/>
        <w:jc w:val="both"/>
        <w:rPr>
          <w:rFonts w:ascii="Arial" w:hAnsi="Arial" w:eastAsia="Arial-BoldMT" w:cs="Arial"/>
          <w:sz w:val="24"/>
          <w:szCs w:val="24"/>
        </w:rPr>
      </w:pPr>
      <w:r>
        <w:rPr>
          <w:rFonts w:ascii="Arial" w:hAnsi="Arial" w:eastAsia="Arial-BoldMT" w:cs="Arial"/>
          <w:sz w:val="24"/>
          <w:szCs w:val="24"/>
        </w:rPr>
        <w:t>12.6 Para os fins do disposto no subitem 12.5, o termo sumário correspondente ao atesto no verso do documento fiscal ou equivalente.</w:t>
      </w:r>
    </w:p>
    <w:p w14:paraId="2AD6817E">
      <w:pPr>
        <w:spacing w:line="360" w:lineRule="auto"/>
        <w:jc w:val="both"/>
        <w:rPr>
          <w:rFonts w:ascii="Arial" w:hAnsi="Arial" w:eastAsia="Arial-BoldMT" w:cs="Arial"/>
          <w:sz w:val="24"/>
          <w:szCs w:val="24"/>
        </w:rPr>
      </w:pPr>
      <w:r>
        <w:rPr>
          <w:rFonts w:ascii="Arial" w:hAnsi="Arial" w:eastAsia="Arial-BoldMT" w:cs="Arial"/>
          <w:sz w:val="24"/>
          <w:szCs w:val="24"/>
        </w:rPr>
        <w:t>12.6. O objeto poderá ser rejeitado, no todo ou em parte, inclusive antes do recebimento provisório, quando em desacordo com as especificações constantes neste Termo de Referência e na proposta, devendo ser substituídos no prazo máximo de 7 (sete) dias úteis, a contar da notificação da Contratada, às suas custas, sem prejuízo da aplicação das penalidades.</w:t>
      </w:r>
    </w:p>
    <w:p w14:paraId="22045166">
      <w:pPr>
        <w:spacing w:line="360" w:lineRule="auto"/>
        <w:jc w:val="both"/>
        <w:rPr>
          <w:rFonts w:ascii="Arial" w:hAnsi="Arial" w:eastAsia="Arial-BoldMT" w:cs="Arial"/>
          <w:sz w:val="24"/>
          <w:szCs w:val="24"/>
        </w:rPr>
      </w:pPr>
      <w:r>
        <w:rPr>
          <w:rFonts w:ascii="Arial" w:hAnsi="Arial" w:eastAsia="Arial-BoldMT" w:cs="Arial"/>
          <w:sz w:val="24"/>
          <w:szCs w:val="24"/>
        </w:rPr>
        <w:t>12.7. Os bens serão recebidos definitivamente, por servidor ou comissão designada pela autoridade competente, no prazo de 07 (sete) dias, contados do recebimento provisório, mediante preenchimento de termo detalhado que comprove o atendimento das exigências contratuais.</w:t>
      </w:r>
    </w:p>
    <w:p w14:paraId="6FCB40C0">
      <w:pPr>
        <w:spacing w:line="360" w:lineRule="auto"/>
        <w:jc w:val="both"/>
        <w:rPr>
          <w:rFonts w:ascii="Arial" w:hAnsi="Arial" w:eastAsia="Arial-BoldMT" w:cs="Arial"/>
          <w:sz w:val="24"/>
          <w:szCs w:val="24"/>
        </w:rPr>
      </w:pPr>
      <w:r>
        <w:rPr>
          <w:rFonts w:ascii="Arial" w:hAnsi="Arial" w:eastAsia="Arial-BoldMT" w:cs="Arial"/>
          <w:sz w:val="24"/>
          <w:szCs w:val="24"/>
        </w:rPr>
        <w:t>12.7.1. O prazo para recebimento definitivo poderá ser excepcionalmente prorrogado, de forma justificada, por igual período, quando houver necessidade de diligências para a aferição do atendimento das exigências contratual.</w:t>
      </w:r>
    </w:p>
    <w:p w14:paraId="236C8466">
      <w:pPr>
        <w:jc w:val="both"/>
        <w:rPr>
          <w:rFonts w:ascii="Arial" w:hAnsi="Arial" w:eastAsia="Arial-BoldMT" w:cs="Arial"/>
          <w:b/>
          <w:bCs/>
          <w:sz w:val="24"/>
          <w:szCs w:val="24"/>
        </w:rPr>
      </w:pPr>
    </w:p>
    <w:p w14:paraId="42A55764">
      <w:pPr>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30C0E037">
      <w:pPr>
        <w:spacing w:line="360" w:lineRule="auto"/>
        <w:jc w:val="both"/>
        <w:rPr>
          <w:rFonts w:ascii="Arial" w:hAnsi="Arial" w:eastAsia="Arial-BoldMT" w:cs="Arial"/>
          <w:b/>
          <w:bCs/>
          <w:sz w:val="24"/>
          <w:szCs w:val="24"/>
        </w:rPr>
      </w:pPr>
    </w:p>
    <w:p w14:paraId="59D7A9D6">
      <w:pPr>
        <w:spacing w:line="360" w:lineRule="auto"/>
        <w:jc w:val="both"/>
        <w:rPr>
          <w:rFonts w:ascii="Arial" w:hAnsi="Arial" w:eastAsia="Arial-BoldMT" w:cs="Arial"/>
          <w:sz w:val="24"/>
          <w:szCs w:val="24"/>
        </w:rPr>
      </w:pPr>
      <w:bookmarkStart w:id="6" w:name="_Hlk157406106"/>
      <w:r>
        <w:rPr>
          <w:rFonts w:ascii="Arial" w:hAnsi="Arial" w:eastAsia="Arial-BoldMT" w:cs="Arial"/>
          <w:sz w:val="24"/>
          <w:szCs w:val="24"/>
        </w:rPr>
        <w:t>A contratada deverá assegurar a substituição de qualquer item que apresente defeitos ou que esteja em desacordo com as especificações contratadas, sem custos adicionais para a contratante.</w:t>
      </w:r>
      <w:r>
        <w:t xml:space="preserve"> </w:t>
      </w:r>
    </w:p>
    <w:p w14:paraId="1A55A1E4">
      <w:pPr>
        <w:spacing w:line="360" w:lineRule="auto"/>
        <w:jc w:val="both"/>
        <w:rPr>
          <w:rFonts w:ascii="Arial" w:hAnsi="Arial" w:cs="Arial"/>
          <w:sz w:val="24"/>
          <w:szCs w:val="24"/>
        </w:rPr>
      </w:pPr>
    </w:p>
    <w:p w14:paraId="0AC6BB15">
      <w:pPr>
        <w:spacing w:line="360" w:lineRule="auto"/>
        <w:jc w:val="both"/>
        <w:rPr>
          <w:rFonts w:ascii="Arial" w:hAnsi="Arial" w:cs="Arial"/>
          <w:sz w:val="24"/>
          <w:szCs w:val="24"/>
        </w:rPr>
      </w:pPr>
    </w:p>
    <w:p w14:paraId="2E0CA6F8">
      <w:pPr>
        <w:spacing w:line="360" w:lineRule="auto"/>
        <w:jc w:val="both"/>
        <w:rPr>
          <w:rFonts w:ascii="Arial" w:hAnsi="Arial" w:cs="Arial"/>
          <w:sz w:val="24"/>
          <w:szCs w:val="24"/>
          <w:highlight w:val="yellow"/>
        </w:rPr>
      </w:pPr>
      <w:r>
        <w:rPr>
          <w:rFonts w:ascii="Arial" w:hAnsi="Arial" w:cs="Arial"/>
          <w:sz w:val="24"/>
          <w:szCs w:val="24"/>
        </w:rPr>
        <w:t>Rifaina, 05 de maio de 2025.</w:t>
      </w:r>
    </w:p>
    <w:p w14:paraId="366E4B57">
      <w:pPr>
        <w:spacing w:after="240" w:line="360" w:lineRule="auto"/>
        <w:jc w:val="both"/>
        <w:rPr>
          <w:rFonts w:ascii="Arial" w:hAnsi="Arial" w:cs="Arial"/>
          <w:b/>
          <w:bCs/>
          <w:sz w:val="24"/>
          <w:szCs w:val="24"/>
          <w:highlight w:val="yellow"/>
        </w:rPr>
      </w:pPr>
    </w:p>
    <w:p w14:paraId="404D1AE1">
      <w:pPr>
        <w:jc w:val="center"/>
        <w:rPr>
          <w:rFonts w:ascii="Arial" w:hAnsi="Arial" w:cs="Arial"/>
          <w:sz w:val="24"/>
          <w:szCs w:val="24"/>
        </w:rPr>
      </w:pPr>
      <w:r>
        <w:rPr>
          <w:rFonts w:ascii="Arial" w:hAnsi="Arial" w:cs="Arial"/>
          <w:sz w:val="24"/>
          <w:szCs w:val="24"/>
        </w:rPr>
        <w:t>__________________________________________</w:t>
      </w:r>
    </w:p>
    <w:p w14:paraId="690CEE25">
      <w:pPr>
        <w:jc w:val="center"/>
        <w:rPr>
          <w:rFonts w:ascii="Arial" w:hAnsi="Arial" w:cs="Arial"/>
          <w:sz w:val="24"/>
          <w:szCs w:val="24"/>
        </w:rPr>
      </w:pPr>
      <w:r>
        <w:rPr>
          <w:rFonts w:ascii="Arial" w:hAnsi="Arial" w:cs="Arial"/>
          <w:sz w:val="24"/>
          <w:szCs w:val="24"/>
        </w:rPr>
        <w:t>Wilson Alves da Silva Junior</w:t>
      </w:r>
    </w:p>
    <w:p w14:paraId="3018FB6D">
      <w:pPr>
        <w:jc w:val="center"/>
        <w:rPr>
          <w:rFonts w:ascii="Arial" w:hAnsi="Arial" w:cs="Arial"/>
          <w:sz w:val="24"/>
          <w:szCs w:val="24"/>
        </w:rPr>
      </w:pPr>
      <w:r>
        <w:rPr>
          <w:rFonts w:ascii="Arial" w:hAnsi="Arial" w:cs="Arial"/>
          <w:sz w:val="24"/>
          <w:szCs w:val="24"/>
        </w:rPr>
        <w:t>Prefeito Municipal</w:t>
      </w:r>
    </w:p>
    <w:p w14:paraId="49725359">
      <w:pPr>
        <w:spacing w:after="360" w:line="276" w:lineRule="auto"/>
        <w:ind w:right="-2"/>
        <w:rPr>
          <w:rFonts w:ascii="Arial" w:hAnsi="Arial" w:cs="Arial"/>
          <w:sz w:val="24"/>
          <w:szCs w:val="24"/>
        </w:rPr>
      </w:pPr>
    </w:p>
    <w:p w14:paraId="41F45380">
      <w:pPr>
        <w:spacing w:line="276" w:lineRule="auto"/>
        <w:ind w:right="-2"/>
        <w:jc w:val="center"/>
        <w:rPr>
          <w:rFonts w:ascii="Arial" w:hAnsi="Arial" w:cs="Arial"/>
          <w:sz w:val="24"/>
          <w:szCs w:val="24"/>
        </w:rPr>
      </w:pPr>
      <w:r>
        <w:rPr>
          <w:rFonts w:ascii="Arial" w:hAnsi="Arial" w:cs="Arial"/>
          <w:sz w:val="24"/>
          <w:szCs w:val="24"/>
        </w:rPr>
        <w:t>__________________________________________</w:t>
      </w:r>
    </w:p>
    <w:p w14:paraId="55342AFE">
      <w:pPr>
        <w:spacing w:line="276" w:lineRule="auto"/>
        <w:ind w:right="-2"/>
        <w:jc w:val="center"/>
        <w:rPr>
          <w:rFonts w:ascii="Arial" w:hAnsi="Arial" w:cs="Arial"/>
          <w:sz w:val="24"/>
          <w:szCs w:val="24"/>
        </w:rPr>
      </w:pPr>
      <w:r>
        <w:rPr>
          <w:rFonts w:ascii="Arial" w:hAnsi="Arial" w:cs="Arial"/>
          <w:bCs/>
          <w:sz w:val="24"/>
          <w:szCs w:val="24"/>
        </w:rPr>
        <w:t>Sérgio Silvério dos Reis</w:t>
      </w:r>
      <w:r>
        <w:rPr>
          <w:rFonts w:ascii="Arial" w:hAnsi="Arial" w:cs="Arial"/>
          <w:sz w:val="24"/>
          <w:szCs w:val="24"/>
        </w:rPr>
        <w:t xml:space="preserve"> </w:t>
      </w:r>
    </w:p>
    <w:p w14:paraId="4D6235C7">
      <w:pPr>
        <w:spacing w:line="276" w:lineRule="auto"/>
        <w:ind w:right="-2"/>
        <w:jc w:val="center"/>
        <w:rPr>
          <w:rFonts w:ascii="Arial" w:hAnsi="Arial" w:cs="Arial"/>
          <w:sz w:val="24"/>
          <w:szCs w:val="24"/>
        </w:rPr>
      </w:pPr>
      <w:r>
        <w:rPr>
          <w:rFonts w:ascii="Arial" w:hAnsi="Arial" w:cs="Arial"/>
          <w:bCs/>
          <w:sz w:val="24"/>
          <w:szCs w:val="24"/>
        </w:rPr>
        <w:t>Secretário Municipal de Governo</w:t>
      </w:r>
      <w:r>
        <w:rPr>
          <w:rFonts w:ascii="Arial" w:hAnsi="Arial" w:cs="Arial"/>
          <w:sz w:val="24"/>
          <w:szCs w:val="24"/>
        </w:rPr>
        <w:t xml:space="preserve"> </w:t>
      </w:r>
    </w:p>
    <w:p w14:paraId="4BB5F586">
      <w:pPr>
        <w:spacing w:after="360" w:line="276" w:lineRule="auto"/>
        <w:ind w:right="-2"/>
        <w:jc w:val="center"/>
        <w:rPr>
          <w:rFonts w:ascii="Arial" w:hAnsi="Arial" w:cs="Arial"/>
          <w:sz w:val="24"/>
          <w:szCs w:val="24"/>
        </w:rPr>
      </w:pPr>
    </w:p>
    <w:p w14:paraId="1E98F48B">
      <w:pPr>
        <w:spacing w:line="276" w:lineRule="auto"/>
        <w:ind w:right="-2"/>
        <w:jc w:val="center"/>
        <w:rPr>
          <w:rFonts w:ascii="Arial" w:hAnsi="Arial" w:cs="Arial"/>
          <w:sz w:val="24"/>
          <w:szCs w:val="24"/>
        </w:rPr>
      </w:pPr>
      <w:r>
        <w:rPr>
          <w:rFonts w:ascii="Arial" w:hAnsi="Arial" w:cs="Arial"/>
          <w:sz w:val="24"/>
          <w:szCs w:val="24"/>
        </w:rPr>
        <w:t>__________________________________________</w:t>
      </w:r>
    </w:p>
    <w:p w14:paraId="6CEA2A52">
      <w:pPr>
        <w:spacing w:line="276" w:lineRule="auto"/>
        <w:ind w:right="-2"/>
        <w:jc w:val="center"/>
        <w:rPr>
          <w:rFonts w:ascii="Arial" w:hAnsi="Arial" w:cs="Arial"/>
          <w:sz w:val="24"/>
          <w:szCs w:val="24"/>
        </w:rPr>
      </w:pPr>
      <w:r>
        <w:rPr>
          <w:rFonts w:ascii="Arial" w:hAnsi="Arial" w:cs="Arial"/>
          <w:sz w:val="24"/>
          <w:szCs w:val="24"/>
        </w:rPr>
        <w:t>Lilian Mateus Floriano Comodaro</w:t>
      </w:r>
    </w:p>
    <w:p w14:paraId="6E6683F9">
      <w:pPr>
        <w:jc w:val="center"/>
        <w:rPr>
          <w:rFonts w:ascii="Arial" w:hAnsi="Arial" w:eastAsia="Calibri" w:cs="Arial"/>
          <w:sz w:val="24"/>
          <w:szCs w:val="24"/>
        </w:rPr>
      </w:pPr>
      <w:r>
        <w:rPr>
          <w:rFonts w:ascii="Arial" w:hAnsi="Arial" w:cs="Arial"/>
          <w:sz w:val="24"/>
          <w:szCs w:val="24"/>
        </w:rPr>
        <w:t>Secretária Municipal de Educação</w:t>
      </w:r>
    </w:p>
    <w:p w14:paraId="6DE1CEC8">
      <w:pPr>
        <w:jc w:val="center"/>
        <w:rPr>
          <w:rFonts w:ascii="Arial" w:hAnsi="Arial" w:cs="Arial"/>
          <w:sz w:val="24"/>
          <w:szCs w:val="24"/>
        </w:rPr>
      </w:pPr>
    </w:p>
    <w:bookmarkEnd w:id="6"/>
    <w:p w14:paraId="14599FAA">
      <w:pPr>
        <w:spacing w:line="276" w:lineRule="auto"/>
        <w:jc w:val="both"/>
        <w:rPr>
          <w:rFonts w:ascii="Arial" w:hAnsi="Arial" w:eastAsia="Arial-BoldMT" w:cs="Arial"/>
          <w:sz w:val="24"/>
          <w:szCs w:val="24"/>
          <w:highlight w:val="yellow"/>
        </w:rPr>
      </w:pPr>
    </w:p>
    <w:p w14:paraId="16EBDEB2">
      <w:pPr>
        <w:jc w:val="both"/>
        <w:rPr>
          <w:rFonts w:ascii="Times New Roman" w:hAnsi="Times New Roman" w:cs="Times New Roman"/>
        </w:rPr>
      </w:pPr>
    </w:p>
    <w:p w14:paraId="6BD0398C">
      <w:pPr>
        <w:jc w:val="both"/>
        <w:rPr>
          <w:rFonts w:ascii="Times New Roman" w:hAnsi="Times New Roman" w:cs="Times New Roman"/>
        </w:rPr>
      </w:pPr>
    </w:p>
    <w:p w14:paraId="16FE048A">
      <w:pPr>
        <w:jc w:val="both"/>
        <w:rPr>
          <w:rFonts w:ascii="Times New Roman" w:hAnsi="Times New Roman" w:cs="Times New Roman"/>
        </w:rPr>
      </w:pPr>
    </w:p>
    <w:p w14:paraId="7337EB92">
      <w:pPr>
        <w:jc w:val="both"/>
        <w:rPr>
          <w:rFonts w:ascii="Times New Roman" w:hAnsi="Times New Roman" w:cs="Times New Roman"/>
        </w:rPr>
      </w:pPr>
    </w:p>
    <w:p w14:paraId="51A6DBD0">
      <w:pPr>
        <w:jc w:val="both"/>
        <w:rPr>
          <w:rFonts w:ascii="Times New Roman" w:hAnsi="Times New Roman" w:cs="Times New Roman"/>
        </w:rPr>
      </w:pPr>
    </w:p>
    <w:p w14:paraId="13C3354A">
      <w:pPr>
        <w:jc w:val="both"/>
        <w:rPr>
          <w:rFonts w:ascii="Times New Roman" w:hAnsi="Times New Roman" w:cs="Times New Roman"/>
        </w:rPr>
      </w:pPr>
    </w:p>
    <w:p w14:paraId="16B7C72C">
      <w:pPr>
        <w:jc w:val="both"/>
        <w:rPr>
          <w:rFonts w:ascii="Times New Roman" w:hAnsi="Times New Roman" w:cs="Times New Roman"/>
        </w:rPr>
      </w:pPr>
    </w:p>
    <w:p w14:paraId="46D1F89B">
      <w:pPr>
        <w:jc w:val="both"/>
        <w:rPr>
          <w:rFonts w:ascii="Times New Roman" w:hAnsi="Times New Roman" w:cs="Times New Roman"/>
        </w:rPr>
      </w:pPr>
    </w:p>
    <w:p w14:paraId="7ADC3EC8">
      <w:pPr>
        <w:jc w:val="both"/>
        <w:rPr>
          <w:rFonts w:ascii="Times New Roman" w:hAnsi="Times New Roman" w:cs="Times New Roman"/>
        </w:rPr>
      </w:pPr>
    </w:p>
    <w:p w14:paraId="1156AEC0">
      <w:pPr>
        <w:jc w:val="both"/>
        <w:rPr>
          <w:rFonts w:ascii="Times New Roman" w:hAnsi="Times New Roman" w:cs="Times New Roman"/>
        </w:rPr>
      </w:pPr>
    </w:p>
    <w:p w14:paraId="33229D43">
      <w:pPr>
        <w:jc w:val="both"/>
        <w:rPr>
          <w:rFonts w:ascii="Times New Roman" w:hAnsi="Times New Roman" w:cs="Times New Roman"/>
        </w:rPr>
      </w:pPr>
    </w:p>
    <w:p w14:paraId="7F771DA0">
      <w:pPr>
        <w:jc w:val="both"/>
        <w:rPr>
          <w:rFonts w:ascii="Times New Roman" w:hAnsi="Times New Roman" w:cs="Times New Roman"/>
        </w:rPr>
      </w:pPr>
    </w:p>
    <w:p w14:paraId="7E089644">
      <w:pPr>
        <w:jc w:val="both"/>
        <w:rPr>
          <w:rFonts w:ascii="Times New Roman" w:hAnsi="Times New Roman" w:cs="Times New Roman"/>
        </w:rPr>
      </w:pPr>
    </w:p>
    <w:p w14:paraId="4EA1117A">
      <w:pPr>
        <w:jc w:val="both"/>
        <w:rPr>
          <w:rFonts w:ascii="Times New Roman" w:hAnsi="Times New Roman" w:cs="Times New Roman"/>
        </w:rPr>
      </w:pPr>
    </w:p>
    <w:p w14:paraId="1CDAB343">
      <w:pPr>
        <w:jc w:val="both"/>
        <w:rPr>
          <w:rFonts w:ascii="Times New Roman" w:hAnsi="Times New Roman" w:cs="Times New Roman"/>
        </w:rPr>
      </w:pPr>
    </w:p>
    <w:p w14:paraId="22B5CA3A">
      <w:pPr>
        <w:jc w:val="both"/>
        <w:rPr>
          <w:rFonts w:ascii="Times New Roman" w:hAnsi="Times New Roman" w:cs="Times New Roman"/>
        </w:rPr>
      </w:pPr>
    </w:p>
    <w:p w14:paraId="7382B0C7">
      <w:pPr>
        <w:jc w:val="both"/>
        <w:rPr>
          <w:rFonts w:ascii="Times New Roman" w:hAnsi="Times New Roman" w:cs="Times New Roman"/>
        </w:rPr>
      </w:pPr>
    </w:p>
    <w:p w14:paraId="2250C30E">
      <w:pPr>
        <w:jc w:val="both"/>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73</w:t>
      </w:r>
      <w:r>
        <w:rPr>
          <w:rFonts w:ascii="Times New Roman" w:hAnsi="Times New Roman" w:cs="Times New Roman"/>
          <w:b/>
          <w:bCs/>
        </w:rPr>
        <w:t>/2025 PROCESSO ADM N°</w:t>
      </w:r>
      <w:r>
        <w:rPr>
          <w:rFonts w:hint="default" w:ascii="Times New Roman" w:hAnsi="Times New Roman" w:cs="Times New Roman"/>
          <w:b/>
          <w:bCs/>
          <w:lang w:val="pt-BR"/>
        </w:rPr>
        <w:t>188</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205E3C18">
      <w:pPr>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58F7A7C9">
      <w:pPr>
        <w:jc w:val="both"/>
        <w:rPr>
          <w:rFonts w:ascii="Arial" w:hAnsi="Arial" w:cs="Arial"/>
          <w:sz w:val="24"/>
          <w:szCs w:val="24"/>
        </w:rPr>
      </w:pPr>
    </w:p>
    <w:p w14:paraId="71D319C1">
      <w:pPr>
        <w:pStyle w:val="17"/>
        <w:spacing w:after="0" w:line="360" w:lineRule="auto"/>
        <w:ind w:left="0"/>
        <w:jc w:val="both"/>
        <w:rPr>
          <w:rFonts w:ascii="Arial" w:hAnsi="Arial" w:cs="Arial"/>
          <w:sz w:val="24"/>
          <w:szCs w:val="24"/>
        </w:rPr>
      </w:pPr>
    </w:p>
    <w:tbl>
      <w:tblPr>
        <w:tblStyle w:val="7"/>
        <w:tblW w:w="9099" w:type="dxa"/>
        <w:tblInd w:w="70" w:type="dxa"/>
        <w:tblLayout w:type="fixed"/>
        <w:tblCellMar>
          <w:top w:w="0" w:type="dxa"/>
          <w:left w:w="70" w:type="dxa"/>
          <w:bottom w:w="0" w:type="dxa"/>
          <w:right w:w="70" w:type="dxa"/>
        </w:tblCellMar>
      </w:tblPr>
      <w:tblGrid>
        <w:gridCol w:w="737"/>
        <w:gridCol w:w="992"/>
        <w:gridCol w:w="737"/>
        <w:gridCol w:w="3630"/>
        <w:gridCol w:w="1417"/>
        <w:gridCol w:w="1586"/>
      </w:tblGrid>
      <w:tr w14:paraId="5419699B">
        <w:tblPrEx>
          <w:tblCellMar>
            <w:top w:w="0" w:type="dxa"/>
            <w:left w:w="70" w:type="dxa"/>
            <w:bottom w:w="0" w:type="dxa"/>
            <w:right w:w="70" w:type="dxa"/>
          </w:tblCellMar>
        </w:tblPrEx>
        <w:trPr>
          <w:trHeight w:val="454"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6686B9E6">
            <w:pPr>
              <w:spacing w:before="120" w:after="120"/>
              <w:jc w:val="center"/>
              <w:rPr>
                <w:rFonts w:ascii="Arial" w:hAnsi="Arial" w:cs="Arial"/>
                <w:color w:val="000000"/>
                <w:sz w:val="18"/>
                <w:szCs w:val="18"/>
                <w:lang w:eastAsia="pt-BR"/>
              </w:rPr>
            </w:pPr>
            <w:r>
              <w:rPr>
                <w:rFonts w:ascii="Arial" w:hAnsi="Arial" w:cs="Arial"/>
                <w:color w:val="000000"/>
                <w:sz w:val="18"/>
                <w:szCs w:val="18"/>
                <w:lang w:eastAsia="pt-BR"/>
              </w:rPr>
              <w:t>ITEM</w:t>
            </w:r>
          </w:p>
        </w:tc>
        <w:tc>
          <w:tcPr>
            <w:tcW w:w="992" w:type="dxa"/>
            <w:tcBorders>
              <w:top w:val="single" w:color="auto" w:sz="12" w:space="0"/>
              <w:left w:val="nil"/>
              <w:bottom w:val="single" w:color="auto" w:sz="12" w:space="0"/>
              <w:right w:val="single" w:color="auto" w:sz="12" w:space="0"/>
            </w:tcBorders>
            <w:shd w:val="clear" w:color="auto" w:fill="auto"/>
            <w:vAlign w:val="center"/>
          </w:tcPr>
          <w:p w14:paraId="3F0E872D">
            <w:pPr>
              <w:spacing w:before="120" w:after="120"/>
              <w:jc w:val="center"/>
              <w:rPr>
                <w:rFonts w:ascii="Arial" w:hAnsi="Arial" w:cs="Arial"/>
                <w:color w:val="000000"/>
                <w:sz w:val="18"/>
                <w:szCs w:val="18"/>
                <w:lang w:eastAsia="pt-BR"/>
              </w:rPr>
            </w:pPr>
            <w:r>
              <w:rPr>
                <w:rFonts w:ascii="Arial" w:hAnsi="Arial" w:cs="Arial"/>
                <w:color w:val="000000"/>
                <w:sz w:val="18"/>
                <w:szCs w:val="18"/>
                <w:lang w:eastAsia="pt-BR"/>
              </w:rPr>
              <w:t>QUANT</w:t>
            </w:r>
          </w:p>
        </w:tc>
        <w:tc>
          <w:tcPr>
            <w:tcW w:w="737" w:type="dxa"/>
            <w:tcBorders>
              <w:top w:val="single" w:color="auto" w:sz="12" w:space="0"/>
              <w:left w:val="nil"/>
              <w:bottom w:val="single" w:color="auto" w:sz="12" w:space="0"/>
              <w:right w:val="single" w:color="auto" w:sz="12" w:space="0"/>
            </w:tcBorders>
            <w:vAlign w:val="center"/>
          </w:tcPr>
          <w:p w14:paraId="0AB61A25">
            <w:pPr>
              <w:spacing w:before="120" w:after="120"/>
              <w:ind w:left="-57"/>
              <w:jc w:val="center"/>
              <w:rPr>
                <w:rFonts w:ascii="Arial" w:hAnsi="Arial" w:cs="Arial"/>
                <w:color w:val="000000"/>
                <w:sz w:val="18"/>
                <w:szCs w:val="18"/>
                <w:lang w:eastAsia="pt-BR"/>
              </w:rPr>
            </w:pPr>
            <w:r>
              <w:rPr>
                <w:rFonts w:ascii="Arial" w:hAnsi="Arial" w:cs="Arial"/>
                <w:color w:val="000000"/>
                <w:sz w:val="18"/>
                <w:szCs w:val="18"/>
                <w:lang w:eastAsia="pt-BR"/>
              </w:rPr>
              <w:t>UNID</w:t>
            </w:r>
          </w:p>
        </w:tc>
        <w:tc>
          <w:tcPr>
            <w:tcW w:w="3630" w:type="dxa"/>
            <w:tcBorders>
              <w:top w:val="single" w:color="auto" w:sz="12" w:space="0"/>
              <w:left w:val="single" w:color="auto" w:sz="12" w:space="0"/>
              <w:bottom w:val="single" w:color="auto" w:sz="12" w:space="0"/>
              <w:right w:val="single" w:color="auto" w:sz="12" w:space="0"/>
            </w:tcBorders>
            <w:vAlign w:val="center"/>
          </w:tcPr>
          <w:p w14:paraId="1E6A7A3B">
            <w:pPr>
              <w:jc w:val="center"/>
              <w:rPr>
                <w:rFonts w:ascii="Arial" w:hAnsi="Arial" w:cs="Arial"/>
                <w:color w:val="000000"/>
                <w:sz w:val="18"/>
                <w:szCs w:val="18"/>
                <w:lang w:eastAsia="pt-BR"/>
              </w:rPr>
            </w:pPr>
            <w:r>
              <w:rPr>
                <w:rFonts w:ascii="Arial" w:hAnsi="Arial" w:cs="Arial"/>
                <w:color w:val="000000"/>
                <w:sz w:val="18"/>
                <w:szCs w:val="18"/>
                <w:lang w:eastAsia="pt-BR"/>
              </w:rPr>
              <w:t>PRODUTO/DESCRIÇÃO</w:t>
            </w:r>
          </w:p>
        </w:tc>
        <w:tc>
          <w:tcPr>
            <w:tcW w:w="1417" w:type="dxa"/>
            <w:tcBorders>
              <w:top w:val="single" w:color="auto" w:sz="12" w:space="0"/>
              <w:left w:val="single" w:color="auto" w:sz="12" w:space="0"/>
              <w:bottom w:val="single" w:color="auto" w:sz="12" w:space="0"/>
              <w:right w:val="single" w:color="auto" w:sz="12" w:space="0"/>
            </w:tcBorders>
          </w:tcPr>
          <w:p w14:paraId="7753B7A3">
            <w:pPr>
              <w:spacing w:before="120" w:after="120"/>
              <w:jc w:val="center"/>
              <w:rPr>
                <w:rFonts w:ascii="Arial" w:hAnsi="Arial" w:cs="Arial"/>
                <w:color w:val="000000"/>
                <w:sz w:val="18"/>
                <w:szCs w:val="18"/>
                <w:lang w:eastAsia="pt-BR"/>
              </w:rPr>
            </w:pPr>
            <w:r>
              <w:rPr>
                <w:rFonts w:ascii="Arial" w:hAnsi="Arial" w:cs="Arial"/>
                <w:color w:val="000000"/>
                <w:sz w:val="18"/>
                <w:szCs w:val="18"/>
                <w:lang w:eastAsia="pt-BR"/>
              </w:rPr>
              <w:t>VALOR  UNITÁRIO</w:t>
            </w:r>
          </w:p>
        </w:tc>
        <w:tc>
          <w:tcPr>
            <w:tcW w:w="1586" w:type="dxa"/>
            <w:tcBorders>
              <w:top w:val="single" w:color="auto" w:sz="12" w:space="0"/>
              <w:left w:val="single" w:color="auto" w:sz="12" w:space="0"/>
              <w:bottom w:val="single" w:color="auto" w:sz="12" w:space="0"/>
              <w:right w:val="single" w:color="auto" w:sz="12" w:space="0"/>
            </w:tcBorders>
          </w:tcPr>
          <w:p w14:paraId="46C76AED">
            <w:pPr>
              <w:spacing w:before="120" w:after="120"/>
              <w:jc w:val="center"/>
              <w:rPr>
                <w:rFonts w:ascii="Arial" w:hAnsi="Arial" w:cs="Arial"/>
                <w:color w:val="000000"/>
                <w:sz w:val="18"/>
                <w:szCs w:val="18"/>
                <w:lang w:eastAsia="pt-BR"/>
              </w:rPr>
            </w:pPr>
            <w:r>
              <w:rPr>
                <w:rFonts w:ascii="Arial" w:hAnsi="Arial" w:cs="Arial"/>
                <w:color w:val="000000"/>
                <w:sz w:val="18"/>
                <w:szCs w:val="18"/>
                <w:lang w:eastAsia="pt-BR"/>
              </w:rPr>
              <w:t>VALOR  TOTAL</w:t>
            </w:r>
          </w:p>
        </w:tc>
      </w:tr>
      <w:tr w14:paraId="5125011E">
        <w:tblPrEx>
          <w:tblCellMar>
            <w:top w:w="0" w:type="dxa"/>
            <w:left w:w="70" w:type="dxa"/>
            <w:bottom w:w="0" w:type="dxa"/>
            <w:right w:w="70" w:type="dxa"/>
          </w:tblCellMar>
        </w:tblPrEx>
        <w:trPr>
          <w:trHeight w:val="2608" w:hRule="atLeast"/>
        </w:trPr>
        <w:tc>
          <w:tcPr>
            <w:tcW w:w="737" w:type="dxa"/>
            <w:tcBorders>
              <w:top w:val="single" w:color="auto" w:sz="12" w:space="0"/>
              <w:left w:val="single" w:color="auto" w:sz="12" w:space="0"/>
              <w:bottom w:val="single" w:color="auto" w:sz="12" w:space="0"/>
              <w:right w:val="single" w:color="auto" w:sz="12" w:space="0"/>
            </w:tcBorders>
            <w:shd w:val="clear" w:color="auto" w:fill="auto"/>
            <w:vAlign w:val="center"/>
          </w:tcPr>
          <w:p w14:paraId="0D9CBB29">
            <w:pPr>
              <w:numPr>
                <w:ilvl w:val="0"/>
                <w:numId w:val="15"/>
              </w:numPr>
              <w:suppressAutoHyphens w:val="0"/>
              <w:ind w:left="530"/>
              <w:jc w:val="center"/>
              <w:rPr>
                <w:rFonts w:ascii="Arial" w:hAnsi="Arial" w:cs="Arial"/>
                <w:color w:val="000000"/>
                <w:sz w:val="24"/>
                <w:szCs w:val="24"/>
                <w:lang w:eastAsia="pt-BR"/>
              </w:rPr>
            </w:pPr>
          </w:p>
        </w:tc>
        <w:tc>
          <w:tcPr>
            <w:tcW w:w="992" w:type="dxa"/>
            <w:tcBorders>
              <w:top w:val="single" w:color="auto" w:sz="12" w:space="0"/>
              <w:left w:val="nil"/>
              <w:bottom w:val="single" w:color="auto" w:sz="12" w:space="0"/>
              <w:right w:val="single" w:color="auto" w:sz="12" w:space="0"/>
            </w:tcBorders>
            <w:shd w:val="clear" w:color="auto" w:fill="auto"/>
            <w:vAlign w:val="center"/>
          </w:tcPr>
          <w:p w14:paraId="12702202">
            <w:pPr>
              <w:jc w:val="center"/>
              <w:textAlignment w:val="baseline"/>
              <w:rPr>
                <w:rFonts w:ascii="Arial" w:hAnsi="Arial" w:cs="Arial"/>
                <w:sz w:val="24"/>
                <w:szCs w:val="24"/>
              </w:rPr>
            </w:pPr>
            <w:r>
              <w:rPr>
                <w:rFonts w:ascii="Arial" w:hAnsi="Arial" w:cs="Arial"/>
                <w:sz w:val="24"/>
                <w:szCs w:val="24"/>
              </w:rPr>
              <w:t>134</w:t>
            </w:r>
          </w:p>
        </w:tc>
        <w:tc>
          <w:tcPr>
            <w:tcW w:w="737" w:type="dxa"/>
            <w:tcBorders>
              <w:top w:val="single" w:color="auto" w:sz="12" w:space="0"/>
              <w:left w:val="nil"/>
              <w:bottom w:val="single" w:color="auto" w:sz="12" w:space="0"/>
              <w:right w:val="single" w:color="auto" w:sz="12" w:space="0"/>
            </w:tcBorders>
            <w:vAlign w:val="center"/>
          </w:tcPr>
          <w:p w14:paraId="3033C30A">
            <w:pPr>
              <w:jc w:val="center"/>
              <w:rPr>
                <w:rFonts w:ascii="Arial" w:hAnsi="Arial" w:cs="Arial"/>
                <w:sz w:val="24"/>
                <w:szCs w:val="24"/>
                <w:highlight w:val="yellow"/>
              </w:rPr>
            </w:pPr>
            <w:r>
              <w:rPr>
                <w:rFonts w:ascii="Arial" w:hAnsi="Arial" w:cs="Arial"/>
                <w:sz w:val="24"/>
                <w:szCs w:val="24"/>
              </w:rPr>
              <w:t>PAR</w:t>
            </w:r>
          </w:p>
        </w:tc>
        <w:tc>
          <w:tcPr>
            <w:tcW w:w="3630" w:type="dxa"/>
            <w:tcBorders>
              <w:top w:val="single" w:color="auto" w:sz="12" w:space="0"/>
              <w:left w:val="single" w:color="auto" w:sz="12" w:space="0"/>
              <w:bottom w:val="single" w:color="auto" w:sz="12" w:space="0"/>
              <w:right w:val="single" w:color="auto" w:sz="12" w:space="0"/>
            </w:tcBorders>
          </w:tcPr>
          <w:p w14:paraId="15C12D3F">
            <w:pPr>
              <w:spacing w:before="120" w:after="120"/>
              <w:jc w:val="center"/>
              <w:textAlignment w:val="baseline"/>
              <w:rPr>
                <w:rFonts w:ascii="Arial" w:hAnsi="Arial" w:cs="Arial"/>
                <w:b/>
                <w:sz w:val="24"/>
                <w:szCs w:val="24"/>
              </w:rPr>
            </w:pPr>
            <w:r>
              <w:rPr>
                <w:rFonts w:ascii="Arial" w:hAnsi="Arial" w:cs="Arial"/>
                <w:b/>
                <w:sz w:val="24"/>
                <w:szCs w:val="24"/>
              </w:rPr>
              <w:t xml:space="preserve">Tênis para uso Escolar - </w:t>
            </w:r>
          </w:p>
          <w:p w14:paraId="797F9248">
            <w:pPr>
              <w:spacing w:before="120" w:after="120"/>
              <w:jc w:val="both"/>
              <w:textAlignment w:val="baseline"/>
              <w:rPr>
                <w:rFonts w:ascii="Arial" w:hAnsi="Arial" w:cs="Arial"/>
                <w:sz w:val="24"/>
                <w:szCs w:val="24"/>
                <w:lang w:eastAsia="pt-BR"/>
              </w:rPr>
            </w:pPr>
            <w:r>
              <w:rPr>
                <w:rFonts w:ascii="Arial" w:hAnsi="Arial" w:cs="Arial"/>
                <w:sz w:val="24"/>
                <w:szCs w:val="24"/>
                <w:lang w:eastAsia="pt-BR"/>
              </w:rPr>
              <w:t>Tênis para uso escolar grade 18 ao 25 fechamento em Cadarço, apropriado para caminhadas, corridas leves, prática de esportes difusos moderados, uso diário, leve, versátil, resistente, duradouro, confortável, produzido e confeccionado a partir de duas partes distintas (CABEDAL e SOLADO) nas quais são unidas pelo processo de adesivos a base de água, trazendo benefícios ao meio ambiente no qual não receberá dejetos químicos dos adesivos.</w:t>
            </w:r>
          </w:p>
          <w:p w14:paraId="5A8B8A8F">
            <w:pPr>
              <w:spacing w:before="120" w:after="120"/>
              <w:jc w:val="both"/>
              <w:textAlignment w:val="baseline"/>
              <w:rPr>
                <w:rFonts w:ascii="Arial" w:hAnsi="Arial" w:cs="Arial"/>
                <w:sz w:val="24"/>
                <w:szCs w:val="24"/>
                <w:lang w:eastAsia="pt-BR"/>
              </w:rPr>
            </w:pPr>
            <w:r>
              <w:rPr>
                <w:rFonts w:ascii="Arial" w:hAnsi="Arial" w:cs="Arial"/>
                <w:color w:val="000000"/>
                <w:sz w:val="24"/>
                <w:szCs w:val="24"/>
                <w:lang w:eastAsia="pt-BR"/>
              </w:rPr>
              <w:t>QUANTIDADE POR TAMANHOS:</w:t>
            </w:r>
          </w:p>
          <w:p w14:paraId="2F3BCBFD">
            <w:pPr>
              <w:spacing w:after="60"/>
              <w:jc w:val="center"/>
              <w:textAlignment w:val="baseline"/>
              <w:rPr>
                <w:rFonts w:ascii="Arial" w:hAnsi="Arial" w:cs="Arial"/>
                <w:sz w:val="24"/>
                <w:szCs w:val="24"/>
              </w:rPr>
            </w:pPr>
            <w:r>
              <w:rPr>
                <w:rFonts w:ascii="Arial" w:hAnsi="Arial" w:cs="Arial"/>
                <w:sz w:val="24"/>
                <w:szCs w:val="24"/>
              </w:rPr>
              <w:t>Tamanho Nº 18 = 12 Pares</w:t>
            </w:r>
          </w:p>
          <w:p w14:paraId="5B92F0CD">
            <w:pPr>
              <w:spacing w:after="60"/>
              <w:jc w:val="center"/>
              <w:textAlignment w:val="baseline"/>
              <w:rPr>
                <w:rFonts w:ascii="Arial" w:hAnsi="Arial" w:cs="Arial"/>
                <w:sz w:val="24"/>
                <w:szCs w:val="24"/>
              </w:rPr>
            </w:pPr>
            <w:r>
              <w:rPr>
                <w:rFonts w:ascii="Arial" w:hAnsi="Arial" w:cs="Arial"/>
                <w:sz w:val="24"/>
                <w:szCs w:val="24"/>
              </w:rPr>
              <w:t>Tamanho Nº 19 = 15 Pares</w:t>
            </w:r>
          </w:p>
          <w:p w14:paraId="62AE222D">
            <w:pPr>
              <w:spacing w:after="60"/>
              <w:jc w:val="center"/>
              <w:textAlignment w:val="baseline"/>
              <w:rPr>
                <w:rFonts w:ascii="Arial" w:hAnsi="Arial" w:cs="Arial"/>
                <w:sz w:val="24"/>
                <w:szCs w:val="24"/>
              </w:rPr>
            </w:pPr>
            <w:r>
              <w:rPr>
                <w:rFonts w:ascii="Arial" w:hAnsi="Arial" w:cs="Arial"/>
                <w:sz w:val="24"/>
                <w:szCs w:val="24"/>
              </w:rPr>
              <w:t>Tamanho Nº 20 = 13 Pares</w:t>
            </w:r>
          </w:p>
          <w:p w14:paraId="29DC6830">
            <w:pPr>
              <w:spacing w:after="60"/>
              <w:jc w:val="center"/>
              <w:textAlignment w:val="baseline"/>
              <w:rPr>
                <w:rFonts w:ascii="Arial" w:hAnsi="Arial" w:cs="Arial"/>
                <w:sz w:val="24"/>
                <w:szCs w:val="24"/>
              </w:rPr>
            </w:pPr>
            <w:r>
              <w:rPr>
                <w:rFonts w:ascii="Arial" w:hAnsi="Arial" w:cs="Arial"/>
                <w:sz w:val="24"/>
                <w:szCs w:val="24"/>
              </w:rPr>
              <w:t>Tamanho Nº 21 = 13 Pares</w:t>
            </w:r>
          </w:p>
          <w:p w14:paraId="79EB8869">
            <w:pPr>
              <w:spacing w:after="60"/>
              <w:jc w:val="center"/>
              <w:textAlignment w:val="baseline"/>
              <w:rPr>
                <w:rFonts w:ascii="Arial" w:hAnsi="Arial" w:cs="Arial"/>
                <w:sz w:val="24"/>
                <w:szCs w:val="24"/>
              </w:rPr>
            </w:pPr>
            <w:r>
              <w:rPr>
                <w:rFonts w:ascii="Arial" w:hAnsi="Arial" w:cs="Arial"/>
                <w:sz w:val="24"/>
                <w:szCs w:val="24"/>
              </w:rPr>
              <w:t>Tamanho Nº 22 = 15 Pares</w:t>
            </w:r>
          </w:p>
          <w:p w14:paraId="352670FA">
            <w:pPr>
              <w:spacing w:after="60"/>
              <w:jc w:val="center"/>
              <w:textAlignment w:val="baseline"/>
              <w:rPr>
                <w:rFonts w:ascii="Arial" w:hAnsi="Arial" w:cs="Arial"/>
                <w:sz w:val="24"/>
                <w:szCs w:val="24"/>
              </w:rPr>
            </w:pPr>
            <w:r>
              <w:rPr>
                <w:rFonts w:ascii="Arial" w:hAnsi="Arial" w:cs="Arial"/>
                <w:sz w:val="24"/>
                <w:szCs w:val="24"/>
              </w:rPr>
              <w:t>Tamanho Nº 23 = 22 Pares</w:t>
            </w:r>
          </w:p>
          <w:p w14:paraId="6BD1011D">
            <w:pPr>
              <w:spacing w:after="60"/>
              <w:jc w:val="center"/>
              <w:textAlignment w:val="baseline"/>
              <w:rPr>
                <w:rFonts w:ascii="Arial" w:hAnsi="Arial" w:cs="Arial"/>
                <w:sz w:val="24"/>
                <w:szCs w:val="24"/>
              </w:rPr>
            </w:pPr>
            <w:r>
              <w:rPr>
                <w:rFonts w:ascii="Arial" w:hAnsi="Arial" w:cs="Arial"/>
                <w:sz w:val="24"/>
                <w:szCs w:val="24"/>
              </w:rPr>
              <w:t>Tamanho Nº 24 = 16 Pares</w:t>
            </w:r>
          </w:p>
          <w:p w14:paraId="7B18ED4D">
            <w:pPr>
              <w:spacing w:after="60"/>
              <w:jc w:val="center"/>
              <w:textAlignment w:val="baseline"/>
              <w:rPr>
                <w:highlight w:val="yellow"/>
              </w:rPr>
            </w:pPr>
            <w:r>
              <w:rPr>
                <w:rFonts w:ascii="Arial" w:hAnsi="Arial" w:cs="Arial"/>
                <w:sz w:val="24"/>
                <w:szCs w:val="24"/>
              </w:rPr>
              <w:t>Tamanho Nº 25 = 28 Pares</w:t>
            </w:r>
          </w:p>
        </w:tc>
        <w:tc>
          <w:tcPr>
            <w:tcW w:w="1417" w:type="dxa"/>
            <w:tcBorders>
              <w:top w:val="single" w:color="auto" w:sz="12" w:space="0"/>
              <w:left w:val="single" w:color="auto" w:sz="12" w:space="0"/>
              <w:bottom w:val="single" w:color="auto" w:sz="12" w:space="0"/>
              <w:right w:val="single" w:color="auto" w:sz="12" w:space="0"/>
            </w:tcBorders>
            <w:vAlign w:val="center"/>
          </w:tcPr>
          <w:p w14:paraId="7002E89C">
            <w:pPr>
              <w:spacing w:line="360" w:lineRule="auto"/>
              <w:jc w:val="center"/>
              <w:rPr>
                <w:rFonts w:ascii="Arial" w:hAnsi="Arial" w:cs="Arial"/>
                <w:b/>
                <w:sz w:val="24"/>
                <w:szCs w:val="24"/>
                <w:highlight w:val="yellow"/>
              </w:rPr>
            </w:pPr>
            <w:r>
              <w:rPr>
                <w:rFonts w:ascii="Arial" w:hAnsi="Arial" w:cs="Arial"/>
                <w:sz w:val="24"/>
                <w:szCs w:val="24"/>
              </w:rPr>
              <w:t xml:space="preserve">R$  </w:t>
            </w:r>
          </w:p>
        </w:tc>
        <w:tc>
          <w:tcPr>
            <w:tcW w:w="1586" w:type="dxa"/>
            <w:tcBorders>
              <w:top w:val="single" w:color="auto" w:sz="12" w:space="0"/>
              <w:left w:val="single" w:color="auto" w:sz="12" w:space="0"/>
              <w:bottom w:val="single" w:color="auto" w:sz="12" w:space="0"/>
              <w:right w:val="single" w:color="auto" w:sz="12" w:space="0"/>
            </w:tcBorders>
            <w:vAlign w:val="center"/>
          </w:tcPr>
          <w:p w14:paraId="7E333005">
            <w:pPr>
              <w:spacing w:line="360" w:lineRule="auto"/>
              <w:jc w:val="center"/>
              <w:rPr>
                <w:rFonts w:ascii="Arial" w:hAnsi="Arial" w:cs="Arial"/>
                <w:b/>
                <w:sz w:val="24"/>
                <w:szCs w:val="24"/>
                <w:highlight w:val="yellow"/>
              </w:rPr>
            </w:pPr>
            <w:r>
              <w:rPr>
                <w:rFonts w:ascii="Arial" w:hAnsi="Arial" w:cs="Arial"/>
                <w:sz w:val="24"/>
                <w:szCs w:val="24"/>
              </w:rPr>
              <w:t xml:space="preserve">R$ </w:t>
            </w:r>
          </w:p>
        </w:tc>
      </w:tr>
    </w:tbl>
    <w:p w14:paraId="4A2AEF2F">
      <w:pPr>
        <w:pStyle w:val="17"/>
        <w:numPr>
          <w:ilvl w:val="0"/>
          <w:numId w:val="0"/>
        </w:numPr>
        <w:tabs>
          <w:tab w:val="left" w:pos="524"/>
        </w:tabs>
        <w:spacing w:before="1"/>
        <w:ind w:left="285" w:leftChars="0"/>
        <w:rPr>
          <w:rFonts w:ascii="Times New Roman" w:hAnsi="Times New Roman"/>
          <w:b/>
          <w:bCs/>
        </w:rPr>
      </w:pPr>
      <w:r>
        <w:rPr>
          <w:rFonts w:ascii="Times New Roman" w:hAnsi="Times New Roman" w:cs="Times New Roman"/>
          <w:b/>
          <w:bCs/>
        </w:rPr>
        <w:t>OBJETO :</w:t>
      </w:r>
      <w:r>
        <w:rPr>
          <w:rFonts w:ascii="Times New Roman" w:hAnsi="Times New Roman" w:eastAsia="Arial" w:cs="Times New Roman"/>
          <w:b/>
        </w:rPr>
        <w:t xml:space="preserve"> </w:t>
      </w:r>
      <w:r>
        <w:rPr>
          <w:rFonts w:ascii="Times New Roman" w:hAnsi="Times New Roman" w:cs="Times New Roman"/>
          <w:b/>
          <w:spacing w:val="-2"/>
          <w:w w:val="120"/>
        </w:rPr>
        <w:t xml:space="preserve"> </w:t>
      </w:r>
      <w:r>
        <w:rPr>
          <w:rFonts w:hint="default" w:ascii="Times New Roman" w:hAnsi="Times New Roman" w:cs="Times New Roman"/>
          <w:b/>
          <w:spacing w:val="-2"/>
          <w:w w:val="120"/>
          <w:lang w:val="pt-BR"/>
        </w:rPr>
        <w:t>REGISTRO DE PREÇO PARA AQUISIÇÃO DE TÊNIS PARA ALUNOS DA REDE ESCOLAR MUNICIPAL</w:t>
      </w:r>
    </w:p>
    <w:p w14:paraId="55D49274">
      <w:pPr>
        <w:pStyle w:val="36"/>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10"/>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3999278C">
      <w:pPr>
        <w:rPr>
          <w:rFonts w:ascii="Times New Roman" w:hAnsi="Times New Roman" w:cs="Times New Roman"/>
          <w:b/>
          <w:bCs/>
        </w:rPr>
      </w:pPr>
    </w:p>
    <w:p w14:paraId="12268D8A">
      <w:pPr>
        <w:rPr>
          <w:rFonts w:ascii="Times New Roman" w:hAnsi="Times New Roman" w:cs="Times New Roman"/>
          <w:b/>
          <w:bCs/>
        </w:rPr>
      </w:pPr>
    </w:p>
    <w:p w14:paraId="6E3BF2F0">
      <w:pPr>
        <w:rPr>
          <w:rFonts w:ascii="Times New Roman" w:hAnsi="Times New Roman" w:cs="Times New Roman"/>
          <w:b/>
          <w:bCs/>
        </w:rPr>
      </w:pPr>
    </w:p>
    <w:p w14:paraId="403C4E7D">
      <w:pPr>
        <w:rPr>
          <w:rFonts w:ascii="Times New Roman" w:hAnsi="Times New Roman" w:cs="Times New Roman"/>
          <w:b/>
          <w:bCs/>
        </w:rPr>
      </w:pPr>
    </w:p>
    <w:p w14:paraId="39FD53AC">
      <w:pPr>
        <w:rPr>
          <w:rFonts w:ascii="Times New Roman" w:hAnsi="Times New Roman" w:cs="Times New Roman"/>
          <w:b/>
          <w:bCs/>
        </w:rPr>
      </w:pPr>
    </w:p>
    <w:p w14:paraId="795F89C1">
      <w:pPr>
        <w:rPr>
          <w:rFonts w:ascii="Times New Roman" w:hAnsi="Times New Roman" w:cs="Times New Roman"/>
          <w:b/>
          <w:bCs/>
        </w:rPr>
      </w:pPr>
    </w:p>
    <w:p w14:paraId="2D076D70">
      <w:pPr>
        <w:rPr>
          <w:rFonts w:ascii="Times New Roman" w:hAnsi="Times New Roman" w:cs="Times New Roman"/>
          <w:b/>
          <w:bCs/>
        </w:rPr>
      </w:pPr>
    </w:p>
    <w:p w14:paraId="7C918992">
      <w:pPr>
        <w:rPr>
          <w:rFonts w:ascii="Times New Roman" w:hAnsi="Times New Roman" w:cs="Times New Roman"/>
          <w:b/>
          <w:bCs/>
        </w:rPr>
      </w:pPr>
    </w:p>
    <w:p w14:paraId="1A468A31">
      <w:pPr>
        <w:rPr>
          <w:rFonts w:ascii="Times New Roman" w:hAnsi="Times New Roman" w:cs="Times New Roman"/>
          <w:b/>
          <w:bCs/>
        </w:rPr>
      </w:pPr>
    </w:p>
    <w:p w14:paraId="5E1F093F">
      <w:pPr>
        <w:rPr>
          <w:rFonts w:ascii="Times New Roman" w:hAnsi="Times New Roman" w:cs="Times New Roman"/>
          <w:b/>
          <w:bCs/>
        </w:rPr>
      </w:pPr>
    </w:p>
    <w:p w14:paraId="53AFAD4E">
      <w:pPr>
        <w:rPr>
          <w:rFonts w:ascii="Times New Roman" w:hAnsi="Times New Roman" w:cs="Times New Roman"/>
          <w:b/>
          <w:bCs/>
        </w:rPr>
      </w:pPr>
    </w:p>
    <w:p w14:paraId="16A2B237">
      <w:pPr>
        <w:rPr>
          <w:rFonts w:ascii="Times New Roman" w:hAnsi="Times New Roman" w:cs="Times New Roman"/>
          <w:b/>
          <w:bCs/>
        </w:rPr>
      </w:pPr>
    </w:p>
    <w:p w14:paraId="77CA6A65">
      <w:pPr>
        <w:rPr>
          <w:rFonts w:ascii="Times New Roman" w:hAnsi="Times New Roman" w:cs="Times New Roman"/>
          <w:b/>
          <w:bCs/>
        </w:rPr>
      </w:pPr>
    </w:p>
    <w:p w14:paraId="7F7AEB37">
      <w:pPr>
        <w:rPr>
          <w:rFonts w:ascii="Times New Roman" w:hAnsi="Times New Roman" w:cs="Times New Roman"/>
          <w:b/>
          <w:bCs/>
        </w:rPr>
      </w:pPr>
    </w:p>
    <w:p w14:paraId="6267328C">
      <w:pPr>
        <w:rPr>
          <w:rFonts w:ascii="Times New Roman" w:hAnsi="Times New Roman" w:cs="Times New Roman"/>
          <w:b/>
          <w:bCs/>
        </w:rPr>
      </w:pPr>
    </w:p>
    <w:p w14:paraId="00EAC17E">
      <w:pPr>
        <w:rPr>
          <w:rFonts w:ascii="Times New Roman" w:hAnsi="Times New Roman" w:cs="Times New Roman"/>
          <w:b/>
          <w:bCs/>
        </w:rPr>
      </w:pPr>
    </w:p>
    <w:p w14:paraId="46766237">
      <w:pPr>
        <w:rPr>
          <w:rFonts w:ascii="Times New Roman" w:hAnsi="Times New Roman" w:cs="Times New Roman"/>
          <w:b/>
          <w:bCs/>
        </w:rPr>
      </w:pPr>
    </w:p>
    <w:p w14:paraId="530C1C85">
      <w:pPr>
        <w:rPr>
          <w:rFonts w:ascii="Times New Roman" w:hAnsi="Times New Roman" w:cs="Times New Roman"/>
          <w:b/>
          <w:bCs/>
        </w:rPr>
      </w:pPr>
    </w:p>
    <w:p w14:paraId="66708D53">
      <w:pPr>
        <w:rPr>
          <w:rFonts w:ascii="Times New Roman" w:hAnsi="Times New Roman" w:cs="Times New Roman"/>
          <w:b/>
          <w:bCs/>
        </w:rPr>
      </w:pPr>
    </w:p>
    <w:p w14:paraId="33EEBC6E">
      <w:pPr>
        <w:rPr>
          <w:rFonts w:ascii="Times New Roman" w:hAnsi="Times New Roman" w:cs="Times New Roman"/>
          <w:b/>
          <w:bCs/>
        </w:rPr>
      </w:pPr>
    </w:p>
    <w:p w14:paraId="39DAA758">
      <w:pPr>
        <w:rPr>
          <w:rFonts w:ascii="Times New Roman" w:hAnsi="Times New Roman" w:cs="Times New Roman"/>
          <w:b/>
          <w:bCs/>
        </w:rPr>
      </w:pPr>
    </w:p>
    <w:p w14:paraId="3D4BE682">
      <w:pPr>
        <w:rPr>
          <w:rFonts w:ascii="Times New Roman" w:hAnsi="Times New Roman" w:cs="Times New Roman"/>
          <w:b/>
          <w:bCs/>
        </w:rPr>
      </w:pPr>
    </w:p>
    <w:p w14:paraId="237B07F3">
      <w:pPr>
        <w:rPr>
          <w:rFonts w:ascii="Times New Roman" w:hAnsi="Times New Roman" w:cs="Times New Roman"/>
          <w:b/>
          <w:bCs/>
        </w:rPr>
      </w:pPr>
    </w:p>
    <w:p w14:paraId="5CF89BD9">
      <w:pPr>
        <w:rPr>
          <w:rFonts w:ascii="Times New Roman" w:hAnsi="Times New Roman" w:cs="Times New Roman"/>
          <w:b/>
          <w:bCs/>
        </w:rPr>
      </w:pPr>
    </w:p>
    <w:p w14:paraId="5A56E392">
      <w:pPr>
        <w:rPr>
          <w:rFonts w:ascii="Times New Roman" w:hAnsi="Times New Roman" w:cs="Times New Roman"/>
          <w:b/>
          <w:bCs/>
        </w:rPr>
      </w:pPr>
    </w:p>
    <w:p w14:paraId="19DA81F2">
      <w:pPr>
        <w:rPr>
          <w:rFonts w:ascii="Times New Roman" w:hAnsi="Times New Roman" w:cs="Times New Roman"/>
          <w:b/>
          <w:bCs/>
        </w:rPr>
      </w:pPr>
    </w:p>
    <w:p w14:paraId="4670C56F">
      <w:pPr>
        <w:rPr>
          <w:rFonts w:ascii="Times New Roman" w:hAnsi="Times New Roman" w:cs="Times New Roman"/>
          <w:b/>
          <w:bCs/>
        </w:rPr>
      </w:pPr>
    </w:p>
    <w:p w14:paraId="11456E78">
      <w:pPr>
        <w:rPr>
          <w:rFonts w:ascii="Times New Roman" w:hAnsi="Times New Roman" w:cs="Times New Roman"/>
          <w:b/>
          <w:bCs/>
        </w:rPr>
      </w:pPr>
    </w:p>
    <w:p w14:paraId="445BED22">
      <w:pPr>
        <w:rPr>
          <w:rFonts w:ascii="Times New Roman" w:hAnsi="Times New Roman" w:cs="Times New Roman"/>
          <w:b/>
          <w:bCs/>
        </w:rPr>
      </w:pPr>
    </w:p>
    <w:p w14:paraId="2A51AB10">
      <w:pPr>
        <w:rPr>
          <w:rFonts w:ascii="Times New Roman" w:hAnsi="Times New Roman" w:cs="Times New Roman"/>
          <w:b/>
          <w:bCs/>
        </w:rPr>
      </w:pPr>
    </w:p>
    <w:p w14:paraId="320E9128">
      <w:pPr>
        <w:rPr>
          <w:rFonts w:ascii="Times New Roman" w:hAnsi="Times New Roman" w:cs="Times New Roman"/>
          <w:b/>
          <w:bCs/>
        </w:rPr>
      </w:pPr>
    </w:p>
    <w:p w14:paraId="4FAB5D56">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PROCESSO LICITATÓRIO N ° 0</w:t>
      </w:r>
      <w:r>
        <w:rPr>
          <w:rFonts w:hint="default" w:ascii="Times New Roman" w:hAnsi="Times New Roman" w:cs="Times New Roman"/>
          <w:lang w:val="pt-BR"/>
        </w:rPr>
        <w:t>188</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DISPENSA ELETRÔNICA  Nº 0</w:t>
      </w:r>
      <w:r>
        <w:rPr>
          <w:rFonts w:hint="default" w:ascii="Times New Roman" w:hAnsi="Times New Roman" w:cs="Times New Roman"/>
          <w:lang w:val="pt-BR"/>
        </w:rPr>
        <w:t>73</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REGISTRO DE PREÇOS Nº 0</w:t>
      </w:r>
      <w:r>
        <w:rPr>
          <w:rFonts w:hint="default" w:ascii="Times New Roman" w:hAnsi="Times New Roman" w:cs="Times New Roman"/>
          <w:lang w:val="pt-BR"/>
        </w:rPr>
        <w:t>46</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w:t>
      </w:r>
      <w:r>
        <w:rPr>
          <w:rFonts w:hint="default" w:ascii="Times New Roman" w:hAnsi="Times New Roman" w:cs="Times New Roman"/>
          <w:lang w:val="pt-BR"/>
        </w:rPr>
        <w:t>73</w:t>
      </w:r>
      <w:r>
        <w:rPr>
          <w:rFonts w:ascii="Times New Roman" w:hAnsi="Times New Roman" w:cs="Times New Roman"/>
        </w:rPr>
        <w:t>/2025 REGISTRO DE PREÇOS Nº 0</w:t>
      </w:r>
      <w:r>
        <w:rPr>
          <w:rFonts w:hint="default" w:ascii="Times New Roman" w:hAnsi="Times New Roman" w:cs="Times New Roman"/>
          <w:lang w:val="pt-BR"/>
        </w:rPr>
        <w:t>46</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6"/>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pStyle w:val="17"/>
        <w:numPr>
          <w:ilvl w:val="0"/>
          <w:numId w:val="12"/>
        </w:numPr>
        <w:tabs>
          <w:tab w:val="left" w:pos="524"/>
        </w:tabs>
        <w:spacing w:before="1"/>
        <w:ind w:left="239" w:leftChars="0" w:hanging="239" w:firstLineChars="0"/>
        <w:rPr>
          <w:rFonts w:ascii="Times New Roman" w:hAnsi="Times New Roman" w:cs="Times New Roman"/>
          <w:b/>
        </w:rPr>
      </w:pPr>
      <w:r>
        <w:rPr>
          <w:rFonts w:ascii="Times New Roman" w:hAnsi="Times New Roman" w:cs="Times New Roman"/>
        </w:rPr>
        <w:t xml:space="preserve">A presente Ata tem por objeto </w:t>
      </w:r>
      <w:r>
        <w:rPr>
          <w:rFonts w:ascii="Times New Roman" w:hAnsi="Times New Roman" w:cs="Times New Roman"/>
          <w:b/>
          <w:spacing w:val="-2"/>
          <w:w w:val="120"/>
        </w:rPr>
        <w:t xml:space="preserve"> </w:t>
      </w:r>
      <w:r>
        <w:rPr>
          <w:rFonts w:hint="default" w:ascii="Times New Roman" w:hAnsi="Times New Roman" w:cs="Times New Roman"/>
          <w:b/>
          <w:spacing w:val="-2"/>
          <w:w w:val="120"/>
          <w:lang w:val="pt-BR"/>
        </w:rPr>
        <w:t>REGISTRO DE PREÇO PARA AQUISIÇÃO DE TÊNIS PARA ALUNOS DA REDE ESCOLAR MUNICIPAL</w:t>
      </w:r>
      <w:bookmarkStart w:id="7" w:name="_GoBack"/>
      <w:bookmarkEnd w:id="7"/>
      <w:r>
        <w:rPr>
          <w:rFonts w:hint="default" w:ascii="Times New Roman" w:hAnsi="Times New Roman" w:cs="Times New Roman"/>
          <w:b/>
          <w:w w:val="115"/>
          <w:sz w:val="22"/>
          <w:szCs w:val="22"/>
          <w:lang w:val="pt-BR" w:eastAsia="en-US" w:bidi="ar-SA"/>
        </w:rPr>
        <w:t xml:space="preserve">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0"/>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0"/>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Calibri Light">
    <w:panose1 w:val="020F0302020204030204"/>
    <w:charset w:val="00"/>
    <w:family w:val="swiss"/>
    <w:pitch w:val="default"/>
    <w:sig w:usb0="E4002EFF" w:usb1="C200247B" w:usb2="00000009" w:usb3="00000000" w:csb0="200001FF" w:csb1="00000000"/>
  </w:font>
  <w:font w:name="Arial-BoldMT">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2">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8244421"/>
    <w:multiLevelType w:val="multilevel"/>
    <w:tmpl w:val="18244421"/>
    <w:lvl w:ilvl="0" w:tentative="0">
      <w:start w:val="1"/>
      <w:numFmt w:val="decimal"/>
      <w:lvlText w:val="%1."/>
      <w:lvlJc w:val="left"/>
      <w:pPr>
        <w:ind w:left="240"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0"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280" w:hanging="600"/>
      </w:pPr>
      <w:rPr>
        <w:rFonts w:hint="default"/>
        <w:lang w:val="pt-PT" w:eastAsia="en-US" w:bidi="ar-SA"/>
      </w:rPr>
    </w:lvl>
    <w:lvl w:ilvl="3" w:tentative="0">
      <w:start w:val="0"/>
      <w:numFmt w:val="bullet"/>
      <w:lvlText w:val="•"/>
      <w:lvlJc w:val="left"/>
      <w:pPr>
        <w:ind w:left="2325" w:hanging="600"/>
      </w:pPr>
      <w:rPr>
        <w:rFonts w:hint="default"/>
        <w:lang w:val="pt-PT" w:eastAsia="en-US" w:bidi="ar-SA"/>
      </w:rPr>
    </w:lvl>
    <w:lvl w:ilvl="4" w:tentative="0">
      <w:start w:val="0"/>
      <w:numFmt w:val="bullet"/>
      <w:lvlText w:val="•"/>
      <w:lvlJc w:val="left"/>
      <w:pPr>
        <w:ind w:left="3371" w:hanging="600"/>
      </w:pPr>
      <w:rPr>
        <w:rFonts w:hint="default"/>
        <w:lang w:val="pt-PT" w:eastAsia="en-US" w:bidi="ar-SA"/>
      </w:rPr>
    </w:lvl>
    <w:lvl w:ilvl="5" w:tentative="0">
      <w:start w:val="0"/>
      <w:numFmt w:val="bullet"/>
      <w:lvlText w:val="•"/>
      <w:lvlJc w:val="left"/>
      <w:pPr>
        <w:ind w:left="4416" w:hanging="600"/>
      </w:pPr>
      <w:rPr>
        <w:rFonts w:hint="default"/>
        <w:lang w:val="pt-PT" w:eastAsia="en-US" w:bidi="ar-SA"/>
      </w:rPr>
    </w:lvl>
    <w:lvl w:ilvl="6" w:tentative="0">
      <w:start w:val="0"/>
      <w:numFmt w:val="bullet"/>
      <w:lvlText w:val="•"/>
      <w:lvlJc w:val="left"/>
      <w:pPr>
        <w:ind w:left="5461" w:hanging="600"/>
      </w:pPr>
      <w:rPr>
        <w:rFonts w:hint="default"/>
        <w:lang w:val="pt-PT" w:eastAsia="en-US" w:bidi="ar-SA"/>
      </w:rPr>
    </w:lvl>
    <w:lvl w:ilvl="7" w:tentative="0">
      <w:start w:val="0"/>
      <w:numFmt w:val="bullet"/>
      <w:lvlText w:val="•"/>
      <w:lvlJc w:val="left"/>
      <w:pPr>
        <w:ind w:left="6507" w:hanging="600"/>
      </w:pPr>
      <w:rPr>
        <w:rFonts w:hint="default"/>
        <w:lang w:val="pt-PT" w:eastAsia="en-US" w:bidi="ar-SA"/>
      </w:rPr>
    </w:lvl>
    <w:lvl w:ilvl="8" w:tentative="0">
      <w:start w:val="0"/>
      <w:numFmt w:val="bullet"/>
      <w:lvlText w:val="•"/>
      <w:lvlJc w:val="left"/>
      <w:pPr>
        <w:ind w:left="7552" w:hanging="600"/>
      </w:pPr>
      <w:rPr>
        <w:rFonts w:hint="default"/>
        <w:lang w:val="pt-PT" w:eastAsia="en-US" w:bidi="ar-SA"/>
      </w:rPr>
    </w:lvl>
  </w:abstractNum>
  <w:abstractNum w:abstractNumId="4">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5">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6">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7">
    <w:nsid w:val="34B25147"/>
    <w:multiLevelType w:val="multilevel"/>
    <w:tmpl w:val="34B2514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1">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2">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3">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4">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5">
    <w:nsid w:val="70567220"/>
    <w:multiLevelType w:val="multilevel"/>
    <w:tmpl w:val="7056722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2"/>
  </w:num>
  <w:num w:numId="2">
    <w:abstractNumId w:val="0"/>
  </w:num>
  <w:num w:numId="3">
    <w:abstractNumId w:val="10"/>
  </w:num>
  <w:num w:numId="4">
    <w:abstractNumId w:val="16"/>
  </w:num>
  <w:num w:numId="5">
    <w:abstractNumId w:val="12"/>
  </w:num>
  <w:num w:numId="6">
    <w:abstractNumId w:val="1"/>
  </w:num>
  <w:num w:numId="7">
    <w:abstractNumId w:val="14"/>
  </w:num>
  <w:num w:numId="8">
    <w:abstractNumId w:val="5"/>
  </w:num>
  <w:num w:numId="9">
    <w:abstractNumId w:val="11"/>
  </w:num>
  <w:num w:numId="10">
    <w:abstractNumId w:val="4"/>
  </w:num>
  <w:num w:numId="11">
    <w:abstractNumId w:val="6"/>
  </w:num>
  <w:num w:numId="12">
    <w:abstractNumId w:val="3"/>
  </w:num>
  <w:num w:numId="13">
    <w:abstractNumId w:val="13"/>
  </w:num>
  <w:num w:numId="14">
    <w:abstractNumId w:val="7"/>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9"/>
    <w:lvlOverride w:ilvl="0">
      <w:startOverride w:val="1"/>
    </w:lvlOverride>
  </w:num>
  <w:num w:numId="2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A503F9B"/>
    <w:rsid w:val="29FD7C29"/>
    <w:rsid w:val="3A6971ED"/>
    <w:rsid w:val="3DE22DCC"/>
    <w:rsid w:val="449061DF"/>
    <w:rsid w:val="513A2532"/>
    <w:rsid w:val="65D9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microsoft.com/office/2007/relationships/hdphoto" Target="media/image3.wdp"/><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10872</Words>
  <Characters>58712</Characters>
  <Lines>489</Lines>
  <Paragraphs>138</Paragraphs>
  <TotalTime>2</TotalTime>
  <ScaleCrop>false</ScaleCrop>
  <LinksUpToDate>false</LinksUpToDate>
  <CharactersWithSpaces>69446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2025-05-07T18:54:00Z</cp:lastPrinted>
  <dcterms:modified xsi:type="dcterms:W3CDTF">2025-05-08T19:14:27Z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FBD11B891C96472AB76AEE4FE4C3851D_13</vt:lpwstr>
  </property>
</Properties>
</file>