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78</w:t>
      </w:r>
      <w:r>
        <w:rPr>
          <w:b/>
          <w:spacing w:val="-2"/>
          <w:w w:val="115"/>
        </w:rPr>
        <w:t xml:space="preserve">/2025 PROCESSO ADM Nº </w:t>
      </w:r>
      <w:r>
        <w:rPr>
          <w:rFonts w:hint="default"/>
          <w:b/>
          <w:spacing w:val="-2"/>
          <w:w w:val="115"/>
          <w:lang w:val="pt-BR"/>
        </w:rPr>
        <w:t>207</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19</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23</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23</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3E1C700A">
      <w:pPr>
        <w:suppressAutoHyphens w:val="0"/>
        <w:spacing w:line="360" w:lineRule="auto"/>
        <w:ind w:left="-709" w:right="-711" w:firstLine="851"/>
        <w:jc w:val="both"/>
        <w:rPr>
          <w:rFonts w:ascii="Arial" w:hAnsi="Arial" w:cs="Arial"/>
          <w:sz w:val="22"/>
          <w:szCs w:val="22"/>
        </w:rPr>
      </w:pPr>
    </w:p>
    <w:p w14:paraId="619C5424">
      <w:pPr>
        <w:ind w:left="492"/>
        <w:rPr>
          <w:w w:val="110"/>
        </w:rPr>
      </w:pPr>
      <w:r>
        <w:rPr>
          <w:w w:val="110"/>
        </w:rPr>
        <w:t>02 16 - SECRETARIA MUNICIPAL DE SAUDE</w:t>
      </w:r>
    </w:p>
    <w:p w14:paraId="13E51283">
      <w:pPr>
        <w:ind w:left="492"/>
        <w:rPr>
          <w:w w:val="110"/>
        </w:rPr>
      </w:pPr>
      <w:r>
        <w:rPr>
          <w:w w:val="110"/>
        </w:rPr>
        <w:t>021601 – FUNDO MUNICIPAL DE SAUDE</w:t>
      </w:r>
    </w:p>
    <w:p w14:paraId="6970D1D0">
      <w:pPr>
        <w:ind w:left="492"/>
        <w:rPr>
          <w:w w:val="110"/>
        </w:rPr>
      </w:pPr>
    </w:p>
    <w:p w14:paraId="33C0FC8E">
      <w:pPr>
        <w:ind w:left="492"/>
        <w:rPr>
          <w:w w:val="110"/>
        </w:rPr>
      </w:pPr>
      <w:r>
        <w:rPr>
          <w:w w:val="110"/>
        </w:rPr>
        <w:t xml:space="preserve">FICHA 266 </w:t>
      </w:r>
    </w:p>
    <w:p w14:paraId="5BF95B15">
      <w:pPr>
        <w:ind w:left="492"/>
        <w:rPr>
          <w:w w:val="110"/>
        </w:rPr>
      </w:pPr>
      <w:r>
        <w:rPr>
          <w:w w:val="110"/>
        </w:rPr>
        <w:t xml:space="preserve">10.301.0034.2015.00004.4.90.52.00 </w:t>
      </w:r>
    </w:p>
    <w:p w14:paraId="7009B18C">
      <w:pPr>
        <w:ind w:left="492"/>
        <w:rPr>
          <w:w w:val="110"/>
        </w:rPr>
      </w:pPr>
      <w:r>
        <w:rPr>
          <w:w w:val="110"/>
        </w:rPr>
        <w:t>EQUIPAMENTOS E MATERIAL PERMANENTE</w:t>
      </w:r>
    </w:p>
    <w:p w14:paraId="59B24157">
      <w:pPr>
        <w:ind w:left="492"/>
        <w:rPr>
          <w:w w:val="110"/>
        </w:rPr>
      </w:pPr>
    </w:p>
    <w:p w14:paraId="02A186FD">
      <w:pPr>
        <w:ind w:left="492"/>
        <w:rPr>
          <w:w w:val="110"/>
        </w:rPr>
      </w:pPr>
      <w:r>
        <w:rPr>
          <w:w w:val="110"/>
        </w:rPr>
        <w:t>FICHA 308</w:t>
      </w:r>
    </w:p>
    <w:p w14:paraId="50E1A768">
      <w:pPr>
        <w:ind w:left="492"/>
        <w:rPr>
          <w:w w:val="110"/>
        </w:rPr>
      </w:pPr>
      <w:r>
        <w:rPr>
          <w:w w:val="110"/>
        </w:rPr>
        <w:t xml:space="preserve">10.305.0034.2038.00004.4.90.52.00 </w:t>
      </w:r>
    </w:p>
    <w:p w14:paraId="33D20BF6">
      <w:pPr>
        <w:ind w:left="492"/>
        <w:rPr>
          <w:w w:val="110"/>
        </w:rPr>
      </w:pPr>
      <w:r>
        <w:rPr>
          <w:w w:val="110"/>
        </w:rPr>
        <w:t>EQUIPAMENTOS E MATERIAL PERMANENTE</w:t>
      </w:r>
    </w:p>
    <w:p w14:paraId="7FC77C04">
      <w:pPr>
        <w:ind w:left="492"/>
        <w:rPr>
          <w:w w:val="110"/>
        </w:rPr>
      </w:pPr>
    </w:p>
    <w:p w14:paraId="7B0CC6F1">
      <w:pPr>
        <w:ind w:left="492"/>
        <w:rPr>
          <w:w w:val="110"/>
        </w:rPr>
      </w:pPr>
      <w:r>
        <w:rPr>
          <w:w w:val="110"/>
        </w:rPr>
        <w:t>FICHA 258</w:t>
      </w:r>
    </w:p>
    <w:p w14:paraId="2FD23CD1">
      <w:pPr>
        <w:ind w:left="492"/>
        <w:rPr>
          <w:w w:val="110"/>
        </w:rPr>
      </w:pPr>
      <w:r>
        <w:rPr>
          <w:w w:val="110"/>
        </w:rPr>
        <w:t>10.301.0034.2015.00003.3.90.30.00</w:t>
      </w:r>
    </w:p>
    <w:p w14:paraId="6BF2A7B3">
      <w:pPr>
        <w:ind w:left="492"/>
        <w:rPr>
          <w:w w:val="110"/>
        </w:rPr>
      </w:pPr>
      <w:r>
        <w:rPr>
          <w:w w:val="110"/>
        </w:rPr>
        <w:t>MATERIAL DE CONSUMO</w:t>
      </w:r>
    </w:p>
    <w:p w14:paraId="48DEEE5F">
      <w:pPr>
        <w:ind w:left="492"/>
        <w:rPr>
          <w:w w:val="110"/>
        </w:rPr>
      </w:pPr>
    </w:p>
    <w:p w14:paraId="395B9895">
      <w:pPr>
        <w:ind w:left="492"/>
        <w:rPr>
          <w:w w:val="110"/>
        </w:rPr>
      </w:pPr>
      <w:r>
        <w:rPr>
          <w:w w:val="110"/>
        </w:rPr>
        <w:t>FICHA 269</w:t>
      </w:r>
    </w:p>
    <w:p w14:paraId="39C28555">
      <w:pPr>
        <w:ind w:left="492"/>
        <w:rPr>
          <w:w w:val="110"/>
        </w:rPr>
      </w:pPr>
      <w:r>
        <w:rPr>
          <w:w w:val="110"/>
        </w:rPr>
        <w:t>10.301.0034.2015.00163.3.90.30.00</w:t>
      </w:r>
    </w:p>
    <w:p w14:paraId="09A529AC">
      <w:pPr>
        <w:ind w:left="492"/>
        <w:rPr>
          <w:w w:val="110"/>
        </w:rPr>
      </w:pPr>
      <w:r>
        <w:rPr>
          <w:w w:val="110"/>
        </w:rPr>
        <w:t>MATERIAL DE CONSUMO</w:t>
      </w:r>
    </w:p>
    <w:p w14:paraId="4687BE7F">
      <w:pPr>
        <w:ind w:left="492"/>
        <w:rPr>
          <w:w w:val="110"/>
        </w:rPr>
      </w:pPr>
    </w:p>
    <w:p w14:paraId="59428A2C">
      <w:pPr>
        <w:ind w:left="492"/>
        <w:rPr>
          <w:w w:val="110"/>
        </w:rPr>
      </w:pPr>
      <w:r>
        <w:rPr>
          <w:w w:val="110"/>
        </w:rPr>
        <w:t>FICHA 275</w:t>
      </w:r>
    </w:p>
    <w:p w14:paraId="59C1122F">
      <w:pPr>
        <w:ind w:left="492"/>
        <w:rPr>
          <w:w w:val="110"/>
        </w:rPr>
      </w:pPr>
      <w:r>
        <w:rPr>
          <w:w w:val="110"/>
        </w:rPr>
        <w:t>10.301.0034.2015.00433.3.90.30.00</w:t>
      </w:r>
    </w:p>
    <w:p w14:paraId="3E727A47">
      <w:pPr>
        <w:ind w:left="492"/>
        <w:rPr>
          <w:w w:val="110"/>
        </w:rPr>
      </w:pPr>
      <w:r>
        <w:rPr>
          <w:w w:val="110"/>
        </w:rPr>
        <w:t>MATERIAL DE CONSUMO</w:t>
      </w:r>
    </w:p>
    <w:p w14:paraId="5F20FABD">
      <w:pPr>
        <w:ind w:left="492"/>
        <w:rPr>
          <w:w w:val="110"/>
        </w:rPr>
      </w:pPr>
    </w:p>
    <w:p w14:paraId="57D547E2">
      <w:pPr>
        <w:ind w:left="492"/>
        <w:rPr>
          <w:w w:val="110"/>
        </w:rPr>
      </w:pPr>
      <w:r>
        <w:rPr>
          <w:w w:val="110"/>
        </w:rPr>
        <w:t>FICHA 277</w:t>
      </w:r>
    </w:p>
    <w:p w14:paraId="15C839F9">
      <w:pPr>
        <w:ind w:left="492"/>
        <w:rPr>
          <w:w w:val="110"/>
        </w:rPr>
      </w:pPr>
      <w:r>
        <w:rPr>
          <w:w w:val="110"/>
        </w:rPr>
        <w:t>10.301.0034.2015.00503.3.90.30.00</w:t>
      </w:r>
    </w:p>
    <w:p w14:paraId="11945CC1">
      <w:pPr>
        <w:ind w:left="492"/>
        <w:rPr>
          <w:w w:val="110"/>
        </w:rPr>
      </w:pPr>
      <w:r>
        <w:rPr>
          <w:w w:val="110"/>
        </w:rPr>
        <w:t>MATERIAL DE CONSUMO</w:t>
      </w:r>
    </w:p>
    <w:p w14:paraId="2DCD26FB">
      <w:pPr>
        <w:ind w:left="492"/>
        <w:rPr>
          <w:w w:val="110"/>
        </w:rPr>
      </w:pPr>
    </w:p>
    <w:p w14:paraId="0B6392C1">
      <w:pPr>
        <w:ind w:left="492"/>
        <w:rPr>
          <w:w w:val="110"/>
        </w:rPr>
      </w:pPr>
      <w:r>
        <w:rPr>
          <w:w w:val="110"/>
        </w:rPr>
        <w:t>FICHA 298</w:t>
      </w:r>
    </w:p>
    <w:p w14:paraId="2D6C614A">
      <w:pPr>
        <w:ind w:left="492"/>
        <w:rPr>
          <w:w w:val="110"/>
        </w:rPr>
      </w:pPr>
      <w:r>
        <w:rPr>
          <w:w w:val="110"/>
        </w:rPr>
        <w:t>10.302.0034.2041.03103.3.90.30.00</w:t>
      </w:r>
    </w:p>
    <w:p w14:paraId="68B1DF21">
      <w:pPr>
        <w:ind w:left="492"/>
        <w:rPr>
          <w:w w:val="110"/>
        </w:rPr>
      </w:pPr>
      <w:r>
        <w:rPr>
          <w:w w:val="110"/>
        </w:rPr>
        <w:t>MATERIAL DE CONSUMO</w:t>
      </w:r>
    </w:p>
    <w:p w14:paraId="0B24E195">
      <w:pPr>
        <w:ind w:left="492"/>
        <w:rPr>
          <w:w w:val="110"/>
        </w:rPr>
      </w:pPr>
    </w:p>
    <w:p w14:paraId="24D85782">
      <w:pPr>
        <w:ind w:left="492"/>
        <w:rPr>
          <w:w w:val="110"/>
        </w:rPr>
      </w:pPr>
      <w:r>
        <w:rPr>
          <w:w w:val="110"/>
        </w:rPr>
        <w:t>FICHA 305</w:t>
      </w:r>
    </w:p>
    <w:p w14:paraId="486D6164">
      <w:pPr>
        <w:ind w:left="492"/>
        <w:rPr>
          <w:w w:val="110"/>
        </w:rPr>
      </w:pPr>
      <w:r>
        <w:rPr>
          <w:w w:val="110"/>
        </w:rPr>
        <w:t>10.305.0034.2038.00003.3.90.30.00</w:t>
      </w:r>
    </w:p>
    <w:p w14:paraId="511D7853">
      <w:pPr>
        <w:ind w:left="492"/>
        <w:rPr>
          <w:w w:val="110"/>
        </w:rPr>
      </w:pPr>
      <w:r>
        <w:rPr>
          <w:w w:val="110"/>
        </w:rPr>
        <w:t>MATERIAL DE CONSUMO</w:t>
      </w:r>
    </w:p>
    <w:p w14:paraId="7D1EBFC6">
      <w:pPr>
        <w:ind w:left="492"/>
        <w:rPr>
          <w:w w:val="110"/>
        </w:rPr>
      </w:pPr>
    </w:p>
    <w:p w14:paraId="1C9B81E6">
      <w:pPr>
        <w:ind w:left="492"/>
        <w:rPr>
          <w:w w:val="110"/>
        </w:rPr>
      </w:pPr>
      <w:r>
        <w:rPr>
          <w:w w:val="110"/>
        </w:rPr>
        <w:t xml:space="preserve">FICHA 310 </w:t>
      </w:r>
    </w:p>
    <w:p w14:paraId="6A209916">
      <w:pPr>
        <w:ind w:left="492"/>
        <w:rPr>
          <w:w w:val="110"/>
        </w:rPr>
      </w:pPr>
      <w:r>
        <w:rPr>
          <w:w w:val="110"/>
        </w:rPr>
        <w:t>10.305.0034.2038.00053.3.90.30.00</w:t>
      </w:r>
    </w:p>
    <w:p w14:paraId="52AFC70B">
      <w:pPr>
        <w:ind w:left="492"/>
        <w:rPr>
          <w:w w:val="110"/>
        </w:rPr>
      </w:pPr>
      <w:r>
        <w:rPr>
          <w:w w:val="110"/>
        </w:rPr>
        <w:t>MATERIAL DE CONSUMO</w:t>
      </w:r>
    </w:p>
    <w:p w14:paraId="6E54CAF1">
      <w:pPr>
        <w:pStyle w:val="8"/>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eastAsia="Times New Roman" w:cs="Times New Roman"/>
          <w:b/>
          <w:bCs/>
          <w:w w:val="115"/>
          <w:sz w:val="22"/>
          <w:szCs w:val="22"/>
          <w:lang w:val="pt-BR" w:eastAsia="en-US" w:bidi="ar-SA"/>
        </w:rPr>
        <w:t>REFERENTE A AQUISIÇÃO DE MATERIAIS DE FONOAUDIOLOGIA</w:t>
      </w:r>
      <w:r>
        <w:rPr>
          <w:rFonts w:hint="default" w:ascii="Times New Roman" w:hAnsi="Times New Roman" w:eastAsia="Times New Roman" w:cs="Times New Roman"/>
          <w:b/>
          <w:bCs/>
          <w:w w:val="115"/>
          <w:sz w:val="22"/>
          <w:szCs w:val="22"/>
          <w:lang w:val="pt-BR" w:eastAsia="en-US" w:bidi="ar-SA"/>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16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63551737">
      <w:pPr>
        <w:pStyle w:val="8"/>
        <w:spacing w:before="145"/>
        <w:rPr>
          <w:rFonts w:hint="default"/>
          <w:b/>
          <w:spacing w:val="4"/>
          <w:w w:val="110"/>
          <w:sz w:val="24"/>
          <w:lang w:val="pt-BR"/>
        </w:rPr>
      </w:pPr>
      <w:r>
        <w:rPr>
          <w:b/>
          <w:spacing w:val="4"/>
          <w:w w:val="110"/>
          <w:sz w:val="24"/>
        </w:rPr>
        <w:t>OBJETO:</w:t>
      </w:r>
      <w:r>
        <w:rPr>
          <w:b/>
          <w:spacing w:val="57"/>
          <w:w w:val="110"/>
          <w:sz w:val="24"/>
        </w:rPr>
        <w:t xml:space="preserve"> </w:t>
      </w:r>
      <w:r>
        <w:rPr>
          <w:rFonts w:hint="default" w:ascii="Times New Roman" w:hAnsi="Times New Roman" w:cs="Times New Roman"/>
          <w:b w:val="0"/>
          <w:bCs w:val="0"/>
          <w:sz w:val="20"/>
          <w:szCs w:val="20"/>
          <w:lang w:val="pt-BR" w:eastAsia="en-US" w:bidi="ar-SA"/>
        </w:rPr>
        <w:t xml:space="preserve"> </w:t>
      </w:r>
      <w:r>
        <w:rPr>
          <w:rFonts w:hint="default"/>
          <w:b/>
          <w:spacing w:val="4"/>
          <w:w w:val="110"/>
          <w:sz w:val="24"/>
          <w:lang w:val="pt-BR"/>
        </w:rPr>
        <w:t>REFERENTE A AQUISIÇÃO DE MATERIAIS DE FONOAUDIOLOGIA.</w:t>
      </w:r>
    </w:p>
    <w:p w14:paraId="3145714C">
      <w:pPr>
        <w:pStyle w:val="8"/>
        <w:spacing w:before="145"/>
        <w:rPr>
          <w:rFonts w:hint="default"/>
          <w:b/>
          <w:spacing w:val="4"/>
          <w:w w:val="110"/>
          <w:sz w:val="24"/>
          <w:lang w:val="pt-BR"/>
        </w:rPr>
      </w:pPr>
    </w:p>
    <w:p w14:paraId="79753475">
      <w:pPr>
        <w:pStyle w:val="8"/>
        <w:spacing w:before="145"/>
        <w:rPr>
          <w:b/>
          <w:spacing w:val="4"/>
          <w:w w:val="110"/>
          <w:sz w:val="24"/>
        </w:rPr>
      </w:pPr>
      <w:r>
        <w:rPr>
          <w:rFonts w:hint="default"/>
          <w:b/>
          <w:spacing w:val="4"/>
          <w:w w:val="110"/>
          <w:sz w:val="24"/>
          <w:lang w:val="pt-BR" w:eastAsia="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835"/>
        <w:gridCol w:w="4246"/>
      </w:tblGrid>
      <w:tr w14:paraId="0C9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DD090F7">
            <w:pPr>
              <w:spacing w:line="240" w:lineRule="auto"/>
            </w:pPr>
            <w:r>
              <w:t>Quant.</w:t>
            </w:r>
          </w:p>
        </w:tc>
        <w:tc>
          <w:tcPr>
            <w:tcW w:w="2835" w:type="dxa"/>
          </w:tcPr>
          <w:p w14:paraId="4B3B16DF">
            <w:pPr>
              <w:spacing w:line="240" w:lineRule="auto"/>
            </w:pPr>
            <w:r>
              <w:t>Material</w:t>
            </w:r>
          </w:p>
        </w:tc>
        <w:tc>
          <w:tcPr>
            <w:tcW w:w="4246" w:type="dxa"/>
          </w:tcPr>
          <w:p w14:paraId="4FA37C0E">
            <w:pPr>
              <w:spacing w:line="240" w:lineRule="auto"/>
            </w:pPr>
            <w:r>
              <w:t>Descrição</w:t>
            </w:r>
          </w:p>
        </w:tc>
      </w:tr>
      <w:tr w14:paraId="6433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7EFD357">
            <w:pPr>
              <w:spacing w:line="240" w:lineRule="auto"/>
            </w:pPr>
            <w:r>
              <w:t>1</w:t>
            </w:r>
          </w:p>
        </w:tc>
        <w:tc>
          <w:tcPr>
            <w:tcW w:w="2835" w:type="dxa"/>
          </w:tcPr>
          <w:p w14:paraId="2B940DD0">
            <w:pPr>
              <w:shd w:val="clear" w:color="auto" w:fill="F6F6F6"/>
              <w:spacing w:line="240" w:lineRule="auto"/>
              <w:outlineLvl w:val="0"/>
              <w:rPr>
                <w:rFonts w:ascii="Arial" w:hAnsi="Arial" w:eastAsia="Times New Roman" w:cs="Arial"/>
                <w:color w:val="000000" w:themeColor="text1"/>
                <w:kern w:val="36"/>
                <w:sz w:val="20"/>
                <w:szCs w:val="20"/>
                <w:lang w:eastAsia="pt-BR"/>
                <w14:textFill>
                  <w14:solidFill>
                    <w14:schemeClr w14:val="tx1"/>
                  </w14:solidFill>
                </w14:textFill>
              </w:rPr>
            </w:pPr>
            <w:r>
              <w:rPr>
                <w:rFonts w:ascii="Arial" w:hAnsi="Arial" w:eastAsia="Times New Roman" w:cs="Arial"/>
                <w:color w:val="000000" w:themeColor="text1"/>
                <w:kern w:val="36"/>
                <w:sz w:val="20"/>
                <w:szCs w:val="20"/>
                <w:lang w:eastAsia="pt-BR"/>
                <w14:textFill>
                  <w14:solidFill>
                    <w14:schemeClr w14:val="tx1"/>
                  </w14:solidFill>
                </w14:textFill>
              </w:rPr>
              <w:t>ADL 2 - Avaliação do Desenvolvimento da Linguagem</w:t>
            </w:r>
          </w:p>
          <w:p w14:paraId="60846BA0">
            <w:pPr>
              <w:spacing w:line="240" w:lineRule="auto"/>
              <w:rPr>
                <w:sz w:val="20"/>
                <w:szCs w:val="20"/>
              </w:rPr>
            </w:pPr>
          </w:p>
        </w:tc>
        <w:tc>
          <w:tcPr>
            <w:tcW w:w="4246" w:type="dxa"/>
          </w:tcPr>
          <w:p w14:paraId="170C9CBA">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847850" cy="1847850"/>
                  <wp:effectExtent l="0" t="0" r="11430" b="11430"/>
                  <wp:docPr id="1" name="Imagem 1" descr="C:\Users\pref\Desktop\1121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pref\Desktop\11212-300x3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47850" cy="1847850"/>
                          </a:xfrm>
                          <a:prstGeom prst="rect">
                            <a:avLst/>
                          </a:prstGeom>
                          <a:noFill/>
                          <a:ln>
                            <a:noFill/>
                          </a:ln>
                        </pic:spPr>
                      </pic:pic>
                    </a:graphicData>
                  </a:graphic>
                </wp:inline>
              </w:drawing>
            </w:r>
          </w:p>
          <w:p w14:paraId="557F4A27">
            <w:pPr>
              <w:spacing w:line="240" w:lineRule="auto"/>
            </w:pPr>
          </w:p>
        </w:tc>
      </w:tr>
      <w:tr w14:paraId="46E9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815DC5B">
            <w:pPr>
              <w:spacing w:line="240" w:lineRule="auto"/>
            </w:pPr>
            <w:r>
              <w:t>1</w:t>
            </w:r>
          </w:p>
        </w:tc>
        <w:tc>
          <w:tcPr>
            <w:tcW w:w="2835" w:type="dxa"/>
          </w:tcPr>
          <w:p w14:paraId="6BD77301">
            <w:pPr>
              <w:spacing w:line="240" w:lineRule="auto"/>
            </w:pPr>
            <w:r>
              <w:t>PCL-R Protocolo Cognitivo-Linguístico</w:t>
            </w:r>
          </w:p>
          <w:p w14:paraId="4291092D">
            <w:pPr>
              <w:spacing w:line="240" w:lineRule="auto"/>
            </w:pPr>
          </w:p>
        </w:tc>
        <w:tc>
          <w:tcPr>
            <w:tcW w:w="4246" w:type="dxa"/>
          </w:tcPr>
          <w:p w14:paraId="5819530E">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847850" cy="1847850"/>
                  <wp:effectExtent l="0" t="0" r="11430" b="11430"/>
                  <wp:docPr id="2" name="Imagem 2" descr="C:\Users\pref\Desktop\12864-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Users\pref\Desktop\12864-300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47850" cy="1847850"/>
                          </a:xfrm>
                          <a:prstGeom prst="rect">
                            <a:avLst/>
                          </a:prstGeom>
                          <a:noFill/>
                          <a:ln>
                            <a:noFill/>
                          </a:ln>
                        </pic:spPr>
                      </pic:pic>
                    </a:graphicData>
                  </a:graphic>
                </wp:inline>
              </w:drawing>
            </w:r>
          </w:p>
          <w:p w14:paraId="1470713F">
            <w:pPr>
              <w:spacing w:line="240" w:lineRule="auto"/>
            </w:pPr>
          </w:p>
        </w:tc>
      </w:tr>
      <w:tr w14:paraId="3230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433BBD8">
            <w:pPr>
              <w:spacing w:line="240" w:lineRule="auto"/>
            </w:pPr>
            <w:r>
              <w:t>1</w:t>
            </w:r>
          </w:p>
        </w:tc>
        <w:tc>
          <w:tcPr>
            <w:tcW w:w="2835" w:type="dxa"/>
          </w:tcPr>
          <w:p w14:paraId="1B27BDEF">
            <w:pPr>
              <w:spacing w:line="240" w:lineRule="auto"/>
            </w:pPr>
            <w:r>
              <w:t>Teste de Reabilitação das Afasias - Rio de Janeiro Terceira Edição</w:t>
            </w:r>
          </w:p>
          <w:p w14:paraId="0F19FEF0">
            <w:pPr>
              <w:spacing w:line="240" w:lineRule="auto"/>
            </w:pPr>
          </w:p>
        </w:tc>
        <w:tc>
          <w:tcPr>
            <w:tcW w:w="4246" w:type="dxa"/>
          </w:tcPr>
          <w:p w14:paraId="71C82CF3">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675765" cy="1675765"/>
                  <wp:effectExtent l="0" t="0" r="0" b="0"/>
                  <wp:docPr id="3" name="Imagem 3" descr="C:\Users\pref\Desktop\7558-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C:\Users\pref\Desktop\7558-600x6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75765" cy="1675765"/>
                          </a:xfrm>
                          <a:prstGeom prst="rect">
                            <a:avLst/>
                          </a:prstGeom>
                          <a:noFill/>
                          <a:ln>
                            <a:noFill/>
                          </a:ln>
                        </pic:spPr>
                      </pic:pic>
                    </a:graphicData>
                  </a:graphic>
                </wp:inline>
              </w:drawing>
            </w:r>
          </w:p>
          <w:p w14:paraId="13BFB81F">
            <w:pPr>
              <w:spacing w:line="240" w:lineRule="auto"/>
            </w:pPr>
          </w:p>
        </w:tc>
      </w:tr>
      <w:tr w14:paraId="0D19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8A7A648">
            <w:pPr>
              <w:spacing w:line="240" w:lineRule="auto"/>
            </w:pPr>
            <w:r>
              <w:t>1</w:t>
            </w:r>
          </w:p>
        </w:tc>
        <w:tc>
          <w:tcPr>
            <w:tcW w:w="2835" w:type="dxa"/>
          </w:tcPr>
          <w:p w14:paraId="4BC52510">
            <w:pPr>
              <w:spacing w:line="240" w:lineRule="auto"/>
            </w:pPr>
            <w:r>
              <w:t>PROC-Protocolo de observação comportamental: Avaliação da Linguagem</w:t>
            </w:r>
          </w:p>
          <w:p w14:paraId="2A965277">
            <w:pPr>
              <w:spacing w:line="240" w:lineRule="auto"/>
            </w:pPr>
          </w:p>
        </w:tc>
        <w:tc>
          <w:tcPr>
            <w:tcW w:w="4246" w:type="dxa"/>
          </w:tcPr>
          <w:p w14:paraId="2C8C7295">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371600" cy="1371600"/>
                  <wp:effectExtent l="0" t="0" r="0" b="0"/>
                  <wp:docPr id="4" name="Imagem 4" descr="C:\Users\pref\Desktop\1200-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pref\Desktop\1200-300x3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14:paraId="130D1BC9">
            <w:pPr>
              <w:spacing w:line="240" w:lineRule="auto"/>
            </w:pPr>
          </w:p>
        </w:tc>
      </w:tr>
      <w:tr w14:paraId="4DBD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6C22CD7">
            <w:pPr>
              <w:spacing w:line="240" w:lineRule="auto"/>
            </w:pPr>
            <w:r>
              <w:t>1</w:t>
            </w:r>
          </w:p>
        </w:tc>
        <w:tc>
          <w:tcPr>
            <w:tcW w:w="2835" w:type="dxa"/>
          </w:tcPr>
          <w:p w14:paraId="37DD424C">
            <w:pPr>
              <w:spacing w:line="240" w:lineRule="auto"/>
            </w:pPr>
            <w:r>
              <w:t>ABFW + Fichário (Teste Completo)</w:t>
            </w:r>
          </w:p>
          <w:p w14:paraId="17722F95">
            <w:pPr>
              <w:spacing w:line="240" w:lineRule="auto"/>
            </w:pPr>
          </w:p>
        </w:tc>
        <w:tc>
          <w:tcPr>
            <w:tcW w:w="4246" w:type="dxa"/>
          </w:tcPr>
          <w:p w14:paraId="15108EEA">
            <w:pPr>
              <w:spacing w:line="240" w:lineRule="auto"/>
            </w:pPr>
            <w:r>
              <w:drawing>
                <wp:inline distT="0" distB="0" distL="0" distR="0">
                  <wp:extent cx="2028190" cy="2028190"/>
                  <wp:effectExtent l="0" t="0" r="13970" b="13970"/>
                  <wp:docPr id="6" name="Imagem 6" descr="https://www.booktoy.com.br/image/cache/catalog/livros/57/749-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https://www.booktoy.com.br/image/cache/catalog/livros/57/749-600x6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28190" cy="2028190"/>
                          </a:xfrm>
                          <a:prstGeom prst="rect">
                            <a:avLst/>
                          </a:prstGeom>
                          <a:noFill/>
                          <a:ln>
                            <a:noFill/>
                          </a:ln>
                        </pic:spPr>
                      </pic:pic>
                    </a:graphicData>
                  </a:graphic>
                </wp:inline>
              </w:drawing>
            </w:r>
          </w:p>
        </w:tc>
      </w:tr>
      <w:tr w14:paraId="0974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DA360C1">
            <w:pPr>
              <w:spacing w:line="240" w:lineRule="auto"/>
            </w:pPr>
            <w:r>
              <w:t>2</w:t>
            </w:r>
          </w:p>
        </w:tc>
        <w:tc>
          <w:tcPr>
            <w:tcW w:w="2835" w:type="dxa"/>
          </w:tcPr>
          <w:p w14:paraId="6C6DFADF">
            <w:pPr>
              <w:spacing w:line="240" w:lineRule="auto"/>
            </w:pPr>
            <w:r>
              <w:t>AMBU Reanimador Pulmonar Ressuscitador Manual + Adaptador e Válvula PEEP</w:t>
            </w:r>
          </w:p>
          <w:p w14:paraId="59ED7CBC">
            <w:pPr>
              <w:spacing w:line="240" w:lineRule="auto"/>
            </w:pPr>
          </w:p>
        </w:tc>
        <w:tc>
          <w:tcPr>
            <w:tcW w:w="4246" w:type="dxa"/>
          </w:tcPr>
          <w:p w14:paraId="4DF734BA">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761490" cy="1761490"/>
                  <wp:effectExtent l="0" t="0" r="6350" b="6350"/>
                  <wp:docPr id="16" name="Imagem 16" descr="C:\Users\pref\AppData\Local\Temp\{4820B186-2DB8-4176-AAD1-5F8C6B49AC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C:\Users\pref\AppData\Local\Temp\{4820B186-2DB8-4176-AAD1-5F8C6B49AC46}.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61490" cy="1761490"/>
                          </a:xfrm>
                          <a:prstGeom prst="rect">
                            <a:avLst/>
                          </a:prstGeom>
                          <a:noFill/>
                          <a:ln>
                            <a:noFill/>
                          </a:ln>
                        </pic:spPr>
                      </pic:pic>
                    </a:graphicData>
                  </a:graphic>
                </wp:inline>
              </w:drawing>
            </w:r>
          </w:p>
          <w:p w14:paraId="78D13D90">
            <w:pPr>
              <w:spacing w:line="240" w:lineRule="auto"/>
            </w:pPr>
          </w:p>
        </w:tc>
      </w:tr>
      <w:tr w14:paraId="2F25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7C41F48">
            <w:pPr>
              <w:spacing w:line="240" w:lineRule="auto"/>
            </w:pPr>
            <w:r>
              <w:t>1</w:t>
            </w:r>
          </w:p>
        </w:tc>
        <w:tc>
          <w:tcPr>
            <w:tcW w:w="2835" w:type="dxa"/>
          </w:tcPr>
          <w:p w14:paraId="45A4A9E1">
            <w:pPr>
              <w:spacing w:line="240" w:lineRule="auto"/>
            </w:pPr>
            <w:r>
              <w:t>Espelho De Mesa Com Aumento Dupla-face Redondo 17cm</w:t>
            </w:r>
          </w:p>
          <w:p w14:paraId="47C72355">
            <w:pPr>
              <w:spacing w:line="240" w:lineRule="auto"/>
            </w:pPr>
          </w:p>
        </w:tc>
        <w:tc>
          <w:tcPr>
            <w:tcW w:w="4246" w:type="dxa"/>
          </w:tcPr>
          <w:p w14:paraId="27D92638">
            <w:pPr>
              <w:spacing w:before="100" w:beforeAutospacing="1" w:after="100" w:afterAutospacing="1" w:line="240" w:lineRule="auto"/>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drawing>
                <wp:inline distT="0" distB="0" distL="0" distR="0">
                  <wp:extent cx="1016635" cy="2009775"/>
                  <wp:effectExtent l="0" t="0" r="4445" b="1905"/>
                  <wp:docPr id="17" name="Imagem 17" descr="C:\Users\pref\AppData\Local\Temp\{6929FBEC-0D00-45CC-915F-F8C0E79F35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C:\Users\pref\AppData\Local\Temp\{6929FBEC-0D00-45CC-915F-F8C0E79F358A}.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0800" cy="2037155"/>
                          </a:xfrm>
                          <a:prstGeom prst="rect">
                            <a:avLst/>
                          </a:prstGeom>
                          <a:noFill/>
                          <a:ln>
                            <a:noFill/>
                          </a:ln>
                        </pic:spPr>
                      </pic:pic>
                    </a:graphicData>
                  </a:graphic>
                </wp:inline>
              </w:drawing>
            </w:r>
          </w:p>
          <w:p w14:paraId="75F4FDB9">
            <w:pPr>
              <w:spacing w:line="240" w:lineRule="auto"/>
            </w:pPr>
          </w:p>
        </w:tc>
      </w:tr>
    </w:tbl>
    <w:p w14:paraId="62C99A49"/>
    <w:p w14:paraId="3FA969D7">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19C26EB1">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232C3EB6">
      <w:pPr>
        <w:spacing w:line="360" w:lineRule="auto"/>
        <w:ind w:left="-567" w:right="-708" w:firstLine="709"/>
        <w:jc w:val="center"/>
        <w:rPr>
          <w:rFonts w:ascii="Arial" w:hAnsi="Arial" w:cs="Arial"/>
          <w:b/>
          <w:bCs/>
          <w:sz w:val="24"/>
          <w:szCs w:val="24"/>
        </w:rPr>
      </w:pPr>
    </w:p>
    <w:p w14:paraId="6E8E7E2C">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77C6C64B">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7853BAAE">
      <w:pPr>
        <w:spacing w:line="360" w:lineRule="auto"/>
        <w:ind w:left="-567" w:right="-708" w:firstLine="709"/>
        <w:jc w:val="center"/>
        <w:rPr>
          <w:rFonts w:ascii="Arial" w:hAnsi="Arial" w:cs="Arial"/>
          <w:sz w:val="24"/>
          <w:szCs w:val="24"/>
        </w:rPr>
      </w:pPr>
    </w:p>
    <w:p w14:paraId="10FD773A">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1F7184AF">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16724ACB">
      <w:pPr>
        <w:spacing w:line="360" w:lineRule="auto"/>
        <w:ind w:left="-567" w:right="-708" w:firstLine="709"/>
        <w:jc w:val="center"/>
        <w:rPr>
          <w:rFonts w:ascii="Arial" w:hAnsi="Arial" w:cs="Arial"/>
          <w:sz w:val="24"/>
          <w:szCs w:val="24"/>
        </w:rPr>
      </w:pPr>
    </w:p>
    <w:p w14:paraId="3BB8C43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241E4358">
      <w:pPr>
        <w:spacing w:line="360" w:lineRule="auto"/>
        <w:ind w:left="-567" w:right="-708" w:firstLine="567"/>
        <w:jc w:val="both"/>
        <w:rPr>
          <w:rFonts w:ascii="Arial" w:hAnsi="Arial" w:eastAsia="Arial-BoldMT" w:cs="Arial"/>
          <w:b/>
          <w:bCs/>
          <w:sz w:val="24"/>
          <w:szCs w:val="24"/>
        </w:rPr>
      </w:pPr>
    </w:p>
    <w:p w14:paraId="05888EDC">
      <w:pPr>
        <w:spacing w:line="360" w:lineRule="auto"/>
        <w:ind w:left="-851" w:right="-567" w:firstLine="709"/>
        <w:jc w:val="both"/>
        <w:rPr>
          <w:rFonts w:ascii="Arial" w:hAnsi="Arial" w:cs="Arial"/>
          <w:sz w:val="24"/>
          <w:szCs w:val="24"/>
        </w:rPr>
      </w:pPr>
      <w:r>
        <w:rPr>
          <w:rFonts w:ascii="Arial" w:hAnsi="Arial" w:cs="Arial"/>
          <w:sz w:val="24"/>
          <w:szCs w:val="24"/>
        </w:rPr>
        <w:t>O contrato tem como objeto a </w:t>
      </w:r>
      <w:r>
        <w:rPr>
          <w:rFonts w:ascii="Arial" w:hAnsi="Arial" w:cs="Arial"/>
          <w:b/>
          <w:bCs/>
          <w:sz w:val="24"/>
          <w:szCs w:val="24"/>
        </w:rPr>
        <w:t>aquisição imediata e integral</w:t>
      </w:r>
      <w:r>
        <w:rPr>
          <w:rFonts w:ascii="Arial" w:hAnsi="Arial" w:cs="Arial"/>
          <w:sz w:val="24"/>
          <w:szCs w:val="24"/>
        </w:rPr>
        <w:t> de recursos essenciais para o funcionamento do setor de fonoaudiologia da Secretaria de Saúde de Rifaina, incluindo livros técnicos e pedagógicos (para atualização profissional e protocolos clínicos), o instrumento ADL 2 - Avaliação do Desenvolvimento da Linguagem (destinado a diagnósticos precisos) além de recursos terapêuticos complementares. Os quantitativos serão estabelecidos conforme demanda técnica e planejamento orçamentário, com entrega obrigatória em </w:t>
      </w:r>
      <w:r>
        <w:rPr>
          <w:rFonts w:ascii="Arial" w:hAnsi="Arial" w:cs="Arial"/>
          <w:b/>
          <w:bCs/>
          <w:sz w:val="24"/>
          <w:szCs w:val="24"/>
        </w:rPr>
        <w:t>15 dias</w:t>
      </w:r>
      <w:r>
        <w:rPr>
          <w:rFonts w:ascii="Arial" w:hAnsi="Arial" w:cs="Arial"/>
          <w:sz w:val="24"/>
          <w:szCs w:val="24"/>
        </w:rPr>
        <w:t> após a assinatura do contrato. Por se tratar de uma compra pontual, sem necessidade de renovação ou continuidade de serviços, </w:t>
      </w:r>
      <w:r>
        <w:rPr>
          <w:rFonts w:ascii="Arial" w:hAnsi="Arial" w:cs="Arial"/>
          <w:b/>
          <w:bCs/>
          <w:sz w:val="24"/>
          <w:szCs w:val="24"/>
        </w:rPr>
        <w:t>não há previsão de prorrogação</w:t>
      </w:r>
      <w:r>
        <w:rPr>
          <w:rFonts w:ascii="Arial" w:hAnsi="Arial" w:cs="Arial"/>
          <w:sz w:val="24"/>
          <w:szCs w:val="24"/>
        </w:rPr>
        <w:t>, assegurando cumprimento rigoroso do cronograma e transparência na aplicação dos recursos públicos.</w:t>
      </w:r>
      <w:r>
        <w:rPr>
          <w:rFonts w:ascii="Arial" w:hAnsi="Arial" w:cs="Arial"/>
          <w:sz w:val="24"/>
          <w:szCs w:val="24"/>
        </w:rPr>
        <w:br w:type="textWrapping"/>
      </w:r>
      <w:r>
        <w:rPr>
          <w:rFonts w:ascii="Arial" w:hAnsi="Arial" w:cs="Arial"/>
          <w:sz w:val="24"/>
          <w:szCs w:val="24"/>
        </w:rPr>
        <w:t xml:space="preserve">           A exclusão da possibilidade de prorrogação justifica-se pela natureza única dos materiais adquiridos, que demandam entrega única e definitiva para suprir necessidades imediatas do setor. Livros, instrumentos de avaliação como o ADL 2 e itens não requerem etapas adicionais ou reposição periódica via contrato, sendo sua aquisição concluída com a entrega total. A vedação à extensão do prazo visa evitar riscos de atrasos, garantir eficiência na execução e assegurar que os recursos cheguem rapidamente aos profissionais e pacientes, sem sobrecustos ou desvios de finalidade. Essa decisão reforça o compromisso com a gestão responsável, alinhada às diretrizes de controle e fiscalização do gasto público.</w:t>
      </w:r>
    </w:p>
    <w:p w14:paraId="36C5C771">
      <w:pPr>
        <w:spacing w:line="360" w:lineRule="auto"/>
        <w:ind w:right="-708"/>
        <w:jc w:val="both"/>
        <w:rPr>
          <w:rFonts w:ascii="Arial" w:hAnsi="Arial" w:cs="Arial"/>
          <w:sz w:val="24"/>
          <w:szCs w:val="24"/>
        </w:rPr>
      </w:pPr>
    </w:p>
    <w:p w14:paraId="0B213F3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4AF188BD">
      <w:pPr>
        <w:spacing w:line="360" w:lineRule="auto"/>
        <w:ind w:left="-567" w:right="-708" w:firstLine="709"/>
        <w:jc w:val="both"/>
        <w:rPr>
          <w:rFonts w:ascii="Arial" w:hAnsi="Arial" w:eastAsia="Arial-BoldMT" w:cs="Arial"/>
          <w:b/>
          <w:bCs/>
          <w:sz w:val="24"/>
          <w:szCs w:val="24"/>
        </w:rPr>
      </w:pPr>
    </w:p>
    <w:p w14:paraId="713F9468">
      <w:pPr>
        <w:spacing w:line="360" w:lineRule="auto"/>
        <w:ind w:left="-567" w:right="-708" w:firstLine="709"/>
        <w:jc w:val="both"/>
        <w:rPr>
          <w:rFonts w:ascii="Arial" w:hAnsi="Arial" w:cs="Arial"/>
          <w:sz w:val="24"/>
          <w:szCs w:val="24"/>
        </w:rPr>
      </w:pPr>
      <w:r>
        <w:rPr>
          <w:rFonts w:ascii="Arial" w:hAnsi="Arial" w:cs="Arial"/>
          <w:sz w:val="24"/>
          <w:szCs w:val="24"/>
        </w:rPr>
        <w:t>A contratação fundamenta-se em estudos técnicos preliminares que identificaram a carência de recursos específicos no setor de fonoaudiologia, incluindo análises de demanda, levantamento orçamentário e avaliação de critérios técnicos para seleção dos materiais. Os dados apontaram a necessidade urgente de livros técnicos, do instrumento ADL 2 e de insumos para garantir diagnósticos precisos, intervenções adequadas e conformidade com protocolos de biossegurança. Os estudos, alinhados às diretrizes do SUS e às recomendações de entidades da área, evidenciaram que a ausência desses recursos compromete a qualidade do atendimento, especialmente a grupos prioritários como crianças com atraso de linguagem e idosos com disfagia. Todas as informações são públicas, sem restrição de sigilo, reforçando a transparência e a legalidade do processo.</w:t>
      </w:r>
    </w:p>
    <w:p w14:paraId="447B787C">
      <w:pPr>
        <w:spacing w:line="360" w:lineRule="auto"/>
        <w:ind w:left="-567" w:right="-708" w:firstLine="709"/>
        <w:jc w:val="both"/>
        <w:rPr>
          <w:rFonts w:ascii="Arial" w:hAnsi="Arial" w:cs="Arial"/>
          <w:sz w:val="24"/>
          <w:szCs w:val="24"/>
        </w:rPr>
      </w:pPr>
    </w:p>
    <w:p w14:paraId="4CE82993">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1DAD85D5">
      <w:pPr>
        <w:spacing w:line="360" w:lineRule="auto"/>
        <w:ind w:left="-567" w:right="-708" w:firstLine="709"/>
        <w:jc w:val="both"/>
        <w:rPr>
          <w:rFonts w:ascii="Arial" w:hAnsi="Arial" w:eastAsia="Arial-BoldMT" w:cs="Arial"/>
          <w:b/>
          <w:bCs/>
          <w:sz w:val="24"/>
          <w:szCs w:val="24"/>
        </w:rPr>
      </w:pPr>
    </w:p>
    <w:p w14:paraId="1428C77A">
      <w:pPr>
        <w:spacing w:line="360" w:lineRule="auto"/>
        <w:ind w:left="-567" w:right="-708" w:firstLine="567"/>
        <w:jc w:val="both"/>
        <w:rPr>
          <w:rFonts w:ascii="Arial" w:hAnsi="Arial" w:cs="Arial"/>
          <w:sz w:val="24"/>
          <w:szCs w:val="24"/>
        </w:rPr>
      </w:pPr>
      <w:r>
        <w:rPr>
          <w:rFonts w:ascii="Arial" w:hAnsi="Arial" w:cs="Arial"/>
          <w:sz w:val="24"/>
          <w:szCs w:val="24"/>
        </w:rPr>
        <w:t>A solução proposta abrange todo o ciclo de vida dos recursos adquiridos, desde a aquisição até a destinação final, garantindo eficiência e sustentabilidade. Na fase inicial, os livros técnicos e o instrumento ADL 2 serão incorporados ao acervo do setor, servindo como base permanente para capacitação profissional, diagnósticos precisos e padronização de protocolos, com validade técnica atualizada por meio de revisões periódicas, seguindo normas de biossegurança e boas práticas clínicas, com ciclo de vida curto devido à natureza de consumo imediato. Na fase de manutenção, os livros e instrumentos de avaliação passarão por inspeções regulares para preservação física e funcional. A solução assegura que todos os itens cumpram sua função de forma integral, desde o suprimento das necessidades imediatas até a renovação responsável, alinhada à evolução das práticas fonoaudiológicas e à gestão eficiente de recursos públicos.</w:t>
      </w:r>
    </w:p>
    <w:p w14:paraId="2E5770FB">
      <w:pPr>
        <w:spacing w:line="360" w:lineRule="auto"/>
        <w:ind w:right="-708"/>
        <w:jc w:val="both"/>
        <w:rPr>
          <w:rFonts w:ascii="Arial" w:hAnsi="Arial" w:cs="Arial"/>
          <w:sz w:val="24"/>
          <w:szCs w:val="24"/>
        </w:rPr>
      </w:pPr>
    </w:p>
    <w:p w14:paraId="28890CED">
      <w:pPr>
        <w:numPr>
          <w:ilvl w:val="0"/>
          <w:numId w:val="11"/>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72E6DD03">
      <w:pPr>
        <w:spacing w:line="360" w:lineRule="auto"/>
        <w:ind w:left="-567" w:right="-708" w:firstLine="709"/>
        <w:jc w:val="both"/>
        <w:rPr>
          <w:rFonts w:ascii="Arial" w:hAnsi="Arial" w:eastAsia="Arial-BoldMT" w:cs="Arial"/>
          <w:b/>
          <w:bCs/>
          <w:sz w:val="24"/>
          <w:szCs w:val="24"/>
        </w:rPr>
      </w:pPr>
    </w:p>
    <w:p w14:paraId="07648B94">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2" w:name="_Hlk188436585"/>
      <w:bookmarkStart w:id="3" w:name="_Hlk187756049"/>
      <w:r>
        <w:rPr>
          <w:rFonts w:ascii="Arial" w:hAnsi="Arial" w:eastAsia="Calibri" w:cs="Arial"/>
          <w:bCs/>
          <w:sz w:val="24"/>
          <w:szCs w:val="24"/>
        </w:rPr>
        <w:t>Os requisitos da contratação incluem:</w:t>
      </w:r>
    </w:p>
    <w:p w14:paraId="0A3539B6">
      <w:pPr>
        <w:autoSpaceDE w:val="0"/>
        <w:autoSpaceDN w:val="0"/>
        <w:adjustRightInd w:val="0"/>
        <w:spacing w:line="360" w:lineRule="auto"/>
        <w:ind w:left="-567" w:right="-708" w:firstLine="709"/>
        <w:jc w:val="both"/>
        <w:rPr>
          <w:rFonts w:ascii="Arial" w:hAnsi="Arial" w:cs="Arial"/>
          <w:sz w:val="24"/>
          <w:szCs w:val="24"/>
          <w:lang w:eastAsia="pt-BR"/>
        </w:rPr>
      </w:pPr>
    </w:p>
    <w:bookmarkEnd w:id="2"/>
    <w:bookmarkEnd w:id="3"/>
    <w:p w14:paraId="40EB0C7F">
      <w:pPr>
        <w:numPr>
          <w:ilvl w:val="1"/>
          <w:numId w:val="11"/>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0C6904F6">
      <w:pPr>
        <w:spacing w:line="360" w:lineRule="auto"/>
        <w:ind w:left="-426" w:right="-708"/>
        <w:jc w:val="both"/>
        <w:rPr>
          <w:rFonts w:ascii="Arial" w:hAnsi="Arial" w:eastAsia="Arial-BoldMT" w:cs="Arial"/>
          <w:b/>
          <w:bCs/>
          <w:sz w:val="24"/>
          <w:szCs w:val="24"/>
        </w:rPr>
      </w:pPr>
    </w:p>
    <w:p w14:paraId="41AFD480">
      <w:pPr>
        <w:numPr>
          <w:ilvl w:val="2"/>
          <w:numId w:val="11"/>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Fornecer Infraestrutura: </w:t>
      </w:r>
      <w:r>
        <w:rPr>
          <w:rFonts w:ascii="Arial" w:hAnsi="Arial" w:eastAsia="Arial-BoldMT" w:cs="Arial"/>
          <w:sz w:val="24"/>
          <w:szCs w:val="24"/>
        </w:rPr>
        <w:t>se couber disponibilizar espaço físico adequado, com instalações elétricas, hidráulicas e de ventilação necessárias para o funcionamento do equipamento.</w:t>
      </w:r>
    </w:p>
    <w:p w14:paraId="489F119C">
      <w:pPr>
        <w:numPr>
          <w:ilvl w:val="2"/>
          <w:numId w:val="11"/>
        </w:numPr>
        <w:spacing w:line="360" w:lineRule="auto"/>
        <w:ind w:left="-709"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equipamentos com as especificações de um prazo de até 30 dias após o recebimento do item.</w:t>
      </w:r>
    </w:p>
    <w:p w14:paraId="24A5E593">
      <w:pPr>
        <w:numPr>
          <w:ilvl w:val="2"/>
          <w:numId w:val="11"/>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7820E609">
      <w:pPr>
        <w:numPr>
          <w:ilvl w:val="2"/>
          <w:numId w:val="11"/>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 equipamento.</w:t>
      </w:r>
    </w:p>
    <w:p w14:paraId="2910DE4E">
      <w:pPr>
        <w:numPr>
          <w:ilvl w:val="2"/>
          <w:numId w:val="11"/>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materiais adquiridos, seguindo as orientações técnicas fornecidas.</w:t>
      </w:r>
    </w:p>
    <w:p w14:paraId="146227DE">
      <w:pPr>
        <w:spacing w:line="360" w:lineRule="auto"/>
        <w:ind w:left="-426" w:right="-708"/>
        <w:jc w:val="both"/>
        <w:rPr>
          <w:rFonts w:ascii="Arial" w:hAnsi="Arial" w:eastAsia="Arial-BoldMT" w:cs="Arial"/>
          <w:b/>
          <w:bCs/>
          <w:sz w:val="24"/>
          <w:szCs w:val="24"/>
        </w:rPr>
      </w:pPr>
    </w:p>
    <w:p w14:paraId="457A0C29">
      <w:pPr>
        <w:numPr>
          <w:ilvl w:val="1"/>
          <w:numId w:val="11"/>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00C15058">
      <w:pPr>
        <w:spacing w:line="360" w:lineRule="auto"/>
        <w:ind w:left="-709" w:right="-708" w:firstLine="141"/>
        <w:jc w:val="both"/>
        <w:rPr>
          <w:rFonts w:ascii="Arial" w:hAnsi="Arial" w:eastAsia="Arial-BoldMT" w:cs="Arial"/>
          <w:sz w:val="24"/>
          <w:szCs w:val="24"/>
        </w:rPr>
      </w:pPr>
    </w:p>
    <w:p w14:paraId="78732ED4">
      <w:pPr>
        <w:numPr>
          <w:ilvl w:val="2"/>
          <w:numId w:val="11"/>
        </w:numPr>
        <w:spacing w:line="360" w:lineRule="auto"/>
        <w:ind w:left="-709" w:right="-708" w:firstLine="142"/>
        <w:jc w:val="both"/>
        <w:rPr>
          <w:rFonts w:ascii="Arial" w:hAnsi="Arial" w:cs="Arial"/>
          <w:sz w:val="24"/>
          <w:szCs w:val="24"/>
        </w:rPr>
      </w:pPr>
      <w:r>
        <w:rPr>
          <w:rFonts w:ascii="Arial" w:hAnsi="Arial" w:cs="Arial"/>
          <w:b/>
          <w:bCs/>
          <w:sz w:val="24"/>
          <w:szCs w:val="24"/>
        </w:rPr>
        <w:t>Fornecimento dos materiais</w:t>
      </w:r>
      <w:r>
        <w:rPr>
          <w:rFonts w:ascii="Arial" w:hAnsi="Arial" w:cs="Arial"/>
          <w:sz w:val="24"/>
          <w:szCs w:val="24"/>
        </w:rPr>
        <w:t>: Entregar o material conforme as especificações técnicas e padrões de qualidade exigidos no edital, dentro do prazo estipulado.</w:t>
      </w:r>
    </w:p>
    <w:p w14:paraId="04C37678">
      <w:pPr>
        <w:numPr>
          <w:ilvl w:val="2"/>
          <w:numId w:val="11"/>
        </w:numPr>
        <w:spacing w:line="360" w:lineRule="auto"/>
        <w:ind w:left="-709" w:right="-708" w:firstLine="142"/>
        <w:jc w:val="both"/>
        <w:rPr>
          <w:rFonts w:ascii="Arial" w:hAnsi="Arial" w:cs="Arial"/>
          <w:sz w:val="24"/>
          <w:szCs w:val="24"/>
        </w:rPr>
      </w:pPr>
      <w:r>
        <w:rPr>
          <w:rFonts w:ascii="Arial" w:hAnsi="Arial" w:cs="Arial"/>
          <w:b/>
          <w:bCs/>
          <w:sz w:val="24"/>
          <w:szCs w:val="24"/>
        </w:rPr>
        <w:t xml:space="preserve">Cumprimento de Prazos: </w:t>
      </w:r>
      <w:r>
        <w:rPr>
          <w:rFonts w:ascii="Arial" w:hAnsi="Arial" w:cs="Arial"/>
          <w:sz w:val="24"/>
          <w:szCs w:val="24"/>
        </w:rPr>
        <w:t>Observar rigorosamente os prazos estabelecidos para entrega, instalação e reparos, sob pena de aplicação de sanções contratuais.</w:t>
      </w:r>
    </w:p>
    <w:p w14:paraId="06F13B18">
      <w:pPr>
        <w:numPr>
          <w:ilvl w:val="2"/>
          <w:numId w:val="11"/>
        </w:numPr>
        <w:spacing w:line="360" w:lineRule="auto"/>
        <w:ind w:left="-709" w:right="-708" w:firstLine="142"/>
        <w:jc w:val="both"/>
        <w:rPr>
          <w:rFonts w:ascii="Arial" w:hAnsi="Arial" w:cs="Arial"/>
          <w:sz w:val="24"/>
          <w:szCs w:val="24"/>
        </w:rPr>
      </w:pPr>
      <w:r>
        <w:rPr>
          <w:rFonts w:ascii="Arial" w:hAnsi="Arial" w:cs="Arial"/>
          <w:b/>
          <w:bCs/>
          <w:sz w:val="24"/>
          <w:szCs w:val="24"/>
        </w:rPr>
        <w:t xml:space="preserve">Comunicação de Irregularidades: </w:t>
      </w:r>
      <w:r>
        <w:rPr>
          <w:rFonts w:ascii="Arial" w:hAnsi="Arial" w:cs="Arial"/>
          <w:sz w:val="24"/>
          <w:szCs w:val="24"/>
        </w:rPr>
        <w:t>Informar imediatamente o contratante sobre eventuais problemas técnicos ou atrasos que possam comprometer a execução do contrato.</w:t>
      </w:r>
    </w:p>
    <w:p w14:paraId="32AD754F">
      <w:pPr>
        <w:numPr>
          <w:ilvl w:val="2"/>
          <w:numId w:val="11"/>
        </w:numPr>
        <w:spacing w:line="360" w:lineRule="auto"/>
        <w:ind w:left="-709" w:right="-708" w:firstLine="142"/>
        <w:jc w:val="both"/>
        <w:rPr>
          <w:rFonts w:ascii="Arial" w:hAnsi="Arial" w:cs="Arial"/>
          <w:sz w:val="24"/>
          <w:szCs w:val="24"/>
        </w:rPr>
      </w:pPr>
      <w:r>
        <w:rPr>
          <w:rFonts w:ascii="Arial" w:hAnsi="Arial" w:cs="Arial"/>
          <w:b/>
          <w:bCs/>
          <w:sz w:val="24"/>
          <w:szCs w:val="24"/>
        </w:rPr>
        <w:t xml:space="preserve">Conformidade Legal: </w:t>
      </w:r>
      <w:r>
        <w:rPr>
          <w:rFonts w:ascii="Arial" w:hAnsi="Arial" w:cs="Arial"/>
          <w:sz w:val="24"/>
          <w:szCs w:val="24"/>
        </w:rPr>
        <w:t>Cumprir todas as exigências legais, fiscais e trabalhistas pertinentes à execução do contrato, arcando com eventuais penalidades por descumprimento.</w:t>
      </w:r>
    </w:p>
    <w:p w14:paraId="5565C658">
      <w:pPr>
        <w:spacing w:line="360" w:lineRule="auto"/>
        <w:ind w:left="142" w:right="-708"/>
        <w:jc w:val="both"/>
        <w:rPr>
          <w:rFonts w:ascii="Arial" w:hAnsi="Arial" w:cs="Arial"/>
          <w:b/>
          <w:bCs/>
          <w:sz w:val="24"/>
          <w:szCs w:val="24"/>
        </w:rPr>
      </w:pPr>
    </w:p>
    <w:p w14:paraId="18BEB787">
      <w:pPr>
        <w:numPr>
          <w:ilvl w:val="0"/>
          <w:numId w:val="12"/>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254ABEDB">
      <w:pPr>
        <w:spacing w:line="360" w:lineRule="auto"/>
        <w:ind w:left="-567" w:right="-708" w:firstLine="709"/>
        <w:jc w:val="both"/>
        <w:rPr>
          <w:rFonts w:ascii="Arial" w:hAnsi="Arial" w:cs="Arial"/>
          <w:b/>
          <w:bCs/>
          <w:sz w:val="24"/>
          <w:szCs w:val="24"/>
        </w:rPr>
      </w:pPr>
    </w:p>
    <w:p w14:paraId="0AEC5973">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contrato será executado em etapas claras e sequenciais para garantir os resultados pretendidos: </w:t>
      </w:r>
    </w:p>
    <w:p w14:paraId="6E6F9CF1">
      <w:pPr>
        <w:spacing w:line="360" w:lineRule="auto"/>
        <w:ind w:left="-567" w:right="-708" w:firstLine="709"/>
        <w:jc w:val="both"/>
        <w:rPr>
          <w:rFonts w:ascii="Arial" w:hAnsi="Arial" w:eastAsia="Arial-BoldMT" w:cs="Arial"/>
          <w:sz w:val="24"/>
          <w:szCs w:val="24"/>
        </w:rPr>
      </w:pPr>
      <w:r>
        <w:rPr>
          <w:rFonts w:ascii="Arial" w:hAnsi="Arial" w:eastAsia="Arial-BoldMT" w:cs="Arial"/>
          <w:b/>
          <w:bCs/>
          <w:sz w:val="24"/>
          <w:szCs w:val="24"/>
        </w:rPr>
        <w:t>1) Planejamento e aquisição</w:t>
      </w:r>
      <w:r>
        <w:rPr>
          <w:rFonts w:ascii="Arial" w:hAnsi="Arial" w:eastAsia="Arial-BoldMT" w:cs="Arial"/>
          <w:sz w:val="24"/>
          <w:szCs w:val="24"/>
        </w:rPr>
        <w:t>, com definição técnica dos materiais, cotação transparente e seleção de fornecedores qualificados; </w:t>
      </w:r>
    </w:p>
    <w:p w14:paraId="0DF25A37">
      <w:pPr>
        <w:spacing w:line="360" w:lineRule="auto"/>
        <w:ind w:left="-567" w:right="-708" w:firstLine="709"/>
        <w:jc w:val="both"/>
        <w:rPr>
          <w:rFonts w:ascii="Arial" w:hAnsi="Arial" w:eastAsia="Arial-BoldMT" w:cs="Arial"/>
          <w:sz w:val="24"/>
          <w:szCs w:val="24"/>
        </w:rPr>
      </w:pPr>
      <w:r>
        <w:rPr>
          <w:rFonts w:ascii="Arial" w:hAnsi="Arial" w:eastAsia="Arial-BoldMT" w:cs="Arial"/>
          <w:b/>
          <w:bCs/>
          <w:sz w:val="24"/>
          <w:szCs w:val="24"/>
        </w:rPr>
        <w:t>2) Entrega imediata</w:t>
      </w:r>
      <w:r>
        <w:rPr>
          <w:rFonts w:ascii="Arial" w:hAnsi="Arial" w:eastAsia="Arial-BoldMT" w:cs="Arial"/>
          <w:sz w:val="24"/>
          <w:szCs w:val="24"/>
        </w:rPr>
        <w:t>, em até </w:t>
      </w:r>
      <w:r>
        <w:rPr>
          <w:rFonts w:ascii="Arial" w:hAnsi="Arial" w:eastAsia="Arial-BoldMT" w:cs="Arial"/>
          <w:b/>
          <w:bCs/>
          <w:sz w:val="24"/>
          <w:szCs w:val="24"/>
        </w:rPr>
        <w:t>15 dias</w:t>
      </w:r>
      <w:r>
        <w:rPr>
          <w:rFonts w:ascii="Arial" w:hAnsi="Arial" w:eastAsia="Arial-BoldMT" w:cs="Arial"/>
          <w:sz w:val="24"/>
          <w:szCs w:val="24"/>
        </w:rPr>
        <w:t>, de todos os itens, conforme especificações e quantitativos pactuados; </w:t>
      </w:r>
    </w:p>
    <w:p w14:paraId="24E686A1">
      <w:pPr>
        <w:spacing w:line="360" w:lineRule="auto"/>
        <w:ind w:left="-567" w:right="-708" w:firstLine="709"/>
        <w:jc w:val="both"/>
        <w:rPr>
          <w:rFonts w:ascii="Arial" w:hAnsi="Arial" w:eastAsia="Arial-BoldMT" w:cs="Arial"/>
          <w:sz w:val="24"/>
          <w:szCs w:val="24"/>
        </w:rPr>
      </w:pPr>
      <w:r>
        <w:rPr>
          <w:rFonts w:ascii="Arial" w:hAnsi="Arial" w:eastAsia="Arial-BoldMT" w:cs="Arial"/>
          <w:b/>
          <w:bCs/>
          <w:sz w:val="24"/>
          <w:szCs w:val="24"/>
        </w:rPr>
        <w:t>3) Monitoramento técnico</w:t>
      </w:r>
      <w:r>
        <w:rPr>
          <w:rFonts w:ascii="Arial" w:hAnsi="Arial" w:eastAsia="Arial-BoldMT" w:cs="Arial"/>
          <w:sz w:val="24"/>
          <w:szCs w:val="24"/>
        </w:rPr>
        <w:t>, verificando a conformidade dos produtos e sua aplicação prática no setor; </w:t>
      </w:r>
    </w:p>
    <w:p w14:paraId="40478E2F">
      <w:pPr>
        <w:spacing w:line="360" w:lineRule="auto"/>
        <w:ind w:left="-567" w:right="-708" w:firstLine="709"/>
        <w:jc w:val="both"/>
        <w:rPr>
          <w:rFonts w:ascii="Arial" w:hAnsi="Arial" w:eastAsia="Arial-BoldMT" w:cs="Arial"/>
          <w:sz w:val="24"/>
          <w:szCs w:val="24"/>
        </w:rPr>
      </w:pPr>
      <w:r>
        <w:rPr>
          <w:rFonts w:ascii="Arial" w:hAnsi="Arial" w:eastAsia="Arial-BoldMT" w:cs="Arial"/>
          <w:b/>
          <w:bCs/>
          <w:sz w:val="24"/>
          <w:szCs w:val="24"/>
        </w:rPr>
        <w:t>4) Encerramento</w:t>
      </w:r>
      <w:r>
        <w:rPr>
          <w:rFonts w:ascii="Arial" w:hAnsi="Arial" w:eastAsia="Arial-BoldMT" w:cs="Arial"/>
          <w:sz w:val="24"/>
          <w:szCs w:val="24"/>
        </w:rPr>
        <w:t>, com prestação de contas e avaliação final do cumprimento das metas. A ausência de prorrogação assegura que todas as etapas sejam concluídas dentro do prazo estipulado, garantindo eficiência, transparência e entrega integral dos recursos necessários para aprimorar os serviços de fonoaudiologia, sem interrupções ou desvios de escopo.</w:t>
      </w:r>
    </w:p>
    <w:p w14:paraId="1E3CFBC7">
      <w:pPr>
        <w:spacing w:line="360" w:lineRule="auto"/>
        <w:ind w:left="-567" w:right="-708" w:firstLine="709"/>
        <w:jc w:val="both"/>
        <w:rPr>
          <w:rFonts w:ascii="Arial" w:hAnsi="Arial" w:eastAsia="Arial-BoldMT" w:cs="Arial"/>
          <w:sz w:val="24"/>
          <w:szCs w:val="24"/>
        </w:rPr>
      </w:pPr>
    </w:p>
    <w:p w14:paraId="5AB2AB5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1264B5B9">
      <w:pPr>
        <w:spacing w:line="360" w:lineRule="auto"/>
        <w:ind w:left="-567" w:right="-708" w:firstLine="709"/>
        <w:jc w:val="both"/>
        <w:rPr>
          <w:rFonts w:ascii="Arial" w:hAnsi="Arial" w:eastAsia="Arial-BoldMT" w:cs="Arial"/>
          <w:b/>
          <w:bCs/>
          <w:sz w:val="24"/>
          <w:szCs w:val="24"/>
        </w:rPr>
      </w:pPr>
    </w:p>
    <w:p w14:paraId="329182FB">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65924D6">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59B841A9">
      <w:pPr>
        <w:spacing w:line="360" w:lineRule="auto"/>
        <w:ind w:right="-708"/>
        <w:jc w:val="both"/>
        <w:rPr>
          <w:rFonts w:ascii="Arial" w:hAnsi="Arial" w:eastAsia="Arial-BoldMT" w:cs="Arial"/>
          <w:sz w:val="24"/>
          <w:szCs w:val="24"/>
        </w:rPr>
      </w:pPr>
    </w:p>
    <w:p w14:paraId="2188F01B">
      <w:pPr>
        <w:numPr>
          <w:ilvl w:val="0"/>
          <w:numId w:val="12"/>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3DCFE54E">
      <w:pPr>
        <w:spacing w:line="360" w:lineRule="auto"/>
        <w:ind w:left="-567" w:right="-708" w:firstLine="709"/>
        <w:jc w:val="both"/>
        <w:rPr>
          <w:rFonts w:ascii="Arial" w:hAnsi="Arial" w:eastAsia="Arial-BoldMT" w:cs="Arial"/>
          <w:b/>
          <w:bCs/>
          <w:sz w:val="24"/>
          <w:szCs w:val="24"/>
        </w:rPr>
      </w:pPr>
    </w:p>
    <w:p w14:paraId="23A7C93F">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dos materiais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459DB414">
      <w:pPr>
        <w:spacing w:line="360" w:lineRule="auto"/>
        <w:ind w:left="-567" w:right="-708" w:firstLine="709"/>
        <w:jc w:val="both"/>
        <w:rPr>
          <w:rFonts w:ascii="Arial" w:hAnsi="Arial" w:eastAsia="Arial-BoldMT" w:cs="Arial"/>
          <w:sz w:val="24"/>
          <w:szCs w:val="24"/>
        </w:rPr>
      </w:pPr>
    </w:p>
    <w:p w14:paraId="7DB692C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281E5C35">
      <w:pPr>
        <w:spacing w:line="360" w:lineRule="auto"/>
        <w:ind w:left="-567" w:right="-708" w:firstLine="709"/>
        <w:jc w:val="both"/>
        <w:rPr>
          <w:rFonts w:ascii="Arial" w:hAnsi="Arial" w:eastAsia="Arial-BoldMT" w:cs="Arial"/>
          <w:b/>
          <w:bCs/>
          <w:sz w:val="24"/>
          <w:szCs w:val="24"/>
        </w:rPr>
      </w:pPr>
    </w:p>
    <w:p w14:paraId="52B4AB7E">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6608BA05">
      <w:pPr>
        <w:spacing w:line="360" w:lineRule="auto"/>
        <w:ind w:left="-567" w:right="-708" w:firstLine="709"/>
        <w:jc w:val="both"/>
        <w:rPr>
          <w:rFonts w:ascii="Arial" w:hAnsi="Arial" w:eastAsia="Arial-BoldMT" w:cs="Arial"/>
          <w:sz w:val="24"/>
          <w:szCs w:val="24"/>
        </w:rPr>
      </w:pPr>
    </w:p>
    <w:p w14:paraId="6F78124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5"/>
        <w:tblW w:w="10800" w:type="dxa"/>
        <w:tblInd w:w="-639" w:type="dxa"/>
        <w:tblLayout w:type="autofit"/>
        <w:tblCellMar>
          <w:top w:w="0" w:type="dxa"/>
          <w:left w:w="70" w:type="dxa"/>
          <w:bottom w:w="0" w:type="dxa"/>
          <w:right w:w="70" w:type="dxa"/>
        </w:tblCellMar>
      </w:tblPr>
      <w:tblGrid>
        <w:gridCol w:w="844"/>
        <w:gridCol w:w="845"/>
        <w:gridCol w:w="845"/>
        <w:gridCol w:w="4110"/>
        <w:gridCol w:w="2147"/>
        <w:gridCol w:w="2208"/>
      </w:tblGrid>
      <w:tr w14:paraId="6AC62A44">
        <w:tblPrEx>
          <w:tblCellMar>
            <w:top w:w="0" w:type="dxa"/>
            <w:left w:w="70" w:type="dxa"/>
            <w:bottom w:w="0" w:type="dxa"/>
            <w:right w:w="70"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A61D4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620BB44B">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single" w:color="auto" w:sz="4" w:space="0"/>
              <w:left w:val="nil"/>
              <w:bottom w:val="single" w:color="auto" w:sz="4" w:space="0"/>
              <w:right w:val="single" w:color="auto" w:sz="4" w:space="0"/>
            </w:tcBorders>
            <w:shd w:val="clear" w:color="auto" w:fill="auto"/>
            <w:noWrap w:val="0"/>
            <w:vAlign w:val="center"/>
          </w:tcPr>
          <w:p w14:paraId="6FC8EA3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Quant.</w:t>
            </w:r>
          </w:p>
        </w:tc>
        <w:tc>
          <w:tcPr>
            <w:tcW w:w="4760" w:type="dxa"/>
            <w:tcBorders>
              <w:top w:val="single" w:color="auto" w:sz="4" w:space="0"/>
              <w:left w:val="nil"/>
              <w:bottom w:val="single" w:color="auto" w:sz="4" w:space="0"/>
              <w:right w:val="single" w:color="auto" w:sz="4" w:space="0"/>
            </w:tcBorders>
            <w:shd w:val="clear" w:color="auto" w:fill="auto"/>
            <w:noWrap w:val="0"/>
            <w:vAlign w:val="center"/>
          </w:tcPr>
          <w:p w14:paraId="64E186E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Material</w:t>
            </w:r>
          </w:p>
        </w:tc>
        <w:tc>
          <w:tcPr>
            <w:tcW w:w="1540" w:type="dxa"/>
            <w:tcBorders>
              <w:top w:val="single" w:color="auto" w:sz="4" w:space="0"/>
              <w:left w:val="nil"/>
              <w:bottom w:val="single" w:color="auto" w:sz="4" w:space="0"/>
              <w:right w:val="single" w:color="auto" w:sz="4" w:space="0"/>
            </w:tcBorders>
            <w:shd w:val="clear" w:color="auto" w:fill="auto"/>
            <w:noWrap w:val="0"/>
            <w:vAlign w:val="center"/>
          </w:tcPr>
          <w:p w14:paraId="7A13548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valor unitário</w:t>
            </w:r>
          </w:p>
        </w:tc>
        <w:tc>
          <w:tcPr>
            <w:tcW w:w="1620" w:type="dxa"/>
            <w:tcBorders>
              <w:top w:val="single" w:color="auto" w:sz="4" w:space="0"/>
              <w:left w:val="nil"/>
              <w:bottom w:val="single" w:color="auto" w:sz="4" w:space="0"/>
              <w:right w:val="single" w:color="auto" w:sz="4" w:space="0"/>
            </w:tcBorders>
            <w:shd w:val="clear" w:color="auto" w:fill="auto"/>
            <w:noWrap w:val="0"/>
            <w:vAlign w:val="center"/>
          </w:tcPr>
          <w:p w14:paraId="28C95A1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valor total</w:t>
            </w:r>
          </w:p>
        </w:tc>
      </w:tr>
      <w:tr w14:paraId="1ADDDAC6">
        <w:tblPrEx>
          <w:tblCellMar>
            <w:top w:w="0" w:type="dxa"/>
            <w:left w:w="70" w:type="dxa"/>
            <w:bottom w:w="0" w:type="dxa"/>
            <w:right w:w="70" w:type="dxa"/>
          </w:tblCellMar>
        </w:tblPrEx>
        <w:trPr>
          <w:trHeight w:val="147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7D793DA3">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960" w:type="dxa"/>
            <w:tcBorders>
              <w:top w:val="nil"/>
              <w:left w:val="nil"/>
              <w:bottom w:val="single" w:color="auto" w:sz="4" w:space="0"/>
              <w:right w:val="single" w:color="auto" w:sz="4" w:space="0"/>
            </w:tcBorders>
            <w:shd w:val="clear" w:color="auto" w:fill="auto"/>
            <w:noWrap/>
            <w:vAlign w:val="bottom"/>
          </w:tcPr>
          <w:p w14:paraId="77C0E77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w:t>
            </w:r>
          </w:p>
        </w:tc>
        <w:tc>
          <w:tcPr>
            <w:tcW w:w="960" w:type="dxa"/>
            <w:tcBorders>
              <w:top w:val="nil"/>
              <w:left w:val="nil"/>
              <w:bottom w:val="single" w:color="auto" w:sz="4" w:space="0"/>
              <w:right w:val="single" w:color="auto" w:sz="4" w:space="0"/>
            </w:tcBorders>
            <w:shd w:val="clear" w:color="auto" w:fill="auto"/>
            <w:noWrap w:val="0"/>
            <w:vAlign w:val="center"/>
          </w:tcPr>
          <w:p w14:paraId="57D44383">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3BFA5B3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ABFW + Fichário (Teste Completo)</w:t>
            </w:r>
          </w:p>
        </w:tc>
        <w:tc>
          <w:tcPr>
            <w:tcW w:w="1540" w:type="dxa"/>
            <w:tcBorders>
              <w:top w:val="nil"/>
              <w:left w:val="nil"/>
              <w:bottom w:val="single" w:color="auto" w:sz="4" w:space="0"/>
              <w:right w:val="single" w:color="auto" w:sz="4" w:space="0"/>
            </w:tcBorders>
            <w:shd w:val="clear" w:color="auto" w:fill="auto"/>
            <w:noWrap/>
            <w:vAlign w:val="bottom"/>
          </w:tcPr>
          <w:p w14:paraId="50C5DDB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586,00 </w:t>
            </w:r>
          </w:p>
        </w:tc>
        <w:tc>
          <w:tcPr>
            <w:tcW w:w="1620" w:type="dxa"/>
            <w:tcBorders>
              <w:top w:val="nil"/>
              <w:left w:val="nil"/>
              <w:bottom w:val="single" w:color="auto" w:sz="4" w:space="0"/>
              <w:right w:val="single" w:color="auto" w:sz="4" w:space="0"/>
            </w:tcBorders>
            <w:shd w:val="clear" w:color="auto" w:fill="auto"/>
            <w:noWrap/>
            <w:vAlign w:val="bottom"/>
          </w:tcPr>
          <w:p w14:paraId="5FA7B2E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586,00 </w:t>
            </w:r>
          </w:p>
        </w:tc>
      </w:tr>
      <w:tr w14:paraId="6FCDCDF8">
        <w:tblPrEx>
          <w:tblCellMar>
            <w:top w:w="0" w:type="dxa"/>
            <w:left w:w="70" w:type="dxa"/>
            <w:bottom w:w="0" w:type="dxa"/>
            <w:right w:w="70" w:type="dxa"/>
          </w:tblCellMar>
        </w:tblPrEx>
        <w:trPr>
          <w:trHeight w:val="148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32BCE87A">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2</w:t>
            </w:r>
          </w:p>
        </w:tc>
        <w:tc>
          <w:tcPr>
            <w:tcW w:w="960" w:type="dxa"/>
            <w:tcBorders>
              <w:top w:val="nil"/>
              <w:left w:val="nil"/>
              <w:bottom w:val="single" w:color="auto" w:sz="4" w:space="0"/>
              <w:right w:val="single" w:color="auto" w:sz="4" w:space="0"/>
            </w:tcBorders>
            <w:shd w:val="clear" w:color="auto" w:fill="auto"/>
            <w:noWrap/>
            <w:vAlign w:val="bottom"/>
          </w:tcPr>
          <w:p w14:paraId="3645DE7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w:t>
            </w:r>
          </w:p>
        </w:tc>
        <w:tc>
          <w:tcPr>
            <w:tcW w:w="960" w:type="dxa"/>
            <w:tcBorders>
              <w:top w:val="nil"/>
              <w:left w:val="nil"/>
              <w:bottom w:val="single" w:color="auto" w:sz="4" w:space="0"/>
              <w:right w:val="single" w:color="auto" w:sz="4" w:space="0"/>
            </w:tcBorders>
            <w:shd w:val="clear" w:color="auto" w:fill="auto"/>
            <w:noWrap w:val="0"/>
            <w:vAlign w:val="center"/>
          </w:tcPr>
          <w:p w14:paraId="2E2129E8">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7319F9C8">
            <w:pPr>
              <w:suppressAutoHyphens w:val="0"/>
              <w:rPr>
                <w:rFonts w:ascii="Arial" w:hAnsi="Arial" w:cs="Arial"/>
                <w:color w:val="000000"/>
                <w:lang w:eastAsia="pt-BR"/>
              </w:rPr>
            </w:pPr>
            <w:r>
              <w:rPr>
                <w:rFonts w:ascii="Arial" w:hAnsi="Arial" w:cs="Arial"/>
                <w:color w:val="000000"/>
                <w:lang w:eastAsia="pt-BR"/>
              </w:rPr>
              <w:t>ADL 2 - Avaliação do Desenvolvimento da Linguagem</w:t>
            </w:r>
          </w:p>
        </w:tc>
        <w:tc>
          <w:tcPr>
            <w:tcW w:w="1540" w:type="dxa"/>
            <w:tcBorders>
              <w:top w:val="nil"/>
              <w:left w:val="nil"/>
              <w:bottom w:val="single" w:color="auto" w:sz="4" w:space="0"/>
              <w:right w:val="single" w:color="auto" w:sz="4" w:space="0"/>
            </w:tcBorders>
            <w:shd w:val="clear" w:color="auto" w:fill="auto"/>
            <w:noWrap/>
            <w:vAlign w:val="bottom"/>
          </w:tcPr>
          <w:p w14:paraId="02E6B23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1.380,95 </w:t>
            </w:r>
          </w:p>
        </w:tc>
        <w:tc>
          <w:tcPr>
            <w:tcW w:w="1620" w:type="dxa"/>
            <w:tcBorders>
              <w:top w:val="nil"/>
              <w:left w:val="nil"/>
              <w:bottom w:val="single" w:color="auto" w:sz="4" w:space="0"/>
              <w:right w:val="single" w:color="auto" w:sz="4" w:space="0"/>
            </w:tcBorders>
            <w:shd w:val="clear" w:color="auto" w:fill="auto"/>
            <w:noWrap/>
            <w:vAlign w:val="bottom"/>
          </w:tcPr>
          <w:p w14:paraId="0EBAEC5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1.380,95 </w:t>
            </w:r>
          </w:p>
        </w:tc>
      </w:tr>
      <w:tr w14:paraId="0DA4E0B7">
        <w:tblPrEx>
          <w:tblCellMar>
            <w:top w:w="0" w:type="dxa"/>
            <w:left w:w="70" w:type="dxa"/>
            <w:bottom w:w="0" w:type="dxa"/>
            <w:right w:w="70" w:type="dxa"/>
          </w:tblCellMar>
        </w:tblPrEx>
        <w:trPr>
          <w:trHeight w:val="208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41385202">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3</w:t>
            </w:r>
          </w:p>
        </w:tc>
        <w:tc>
          <w:tcPr>
            <w:tcW w:w="960" w:type="dxa"/>
            <w:tcBorders>
              <w:top w:val="nil"/>
              <w:left w:val="nil"/>
              <w:bottom w:val="single" w:color="auto" w:sz="4" w:space="0"/>
              <w:right w:val="single" w:color="auto" w:sz="4" w:space="0"/>
            </w:tcBorders>
            <w:shd w:val="clear" w:color="auto" w:fill="auto"/>
            <w:noWrap/>
            <w:vAlign w:val="bottom"/>
          </w:tcPr>
          <w:p w14:paraId="5DA8D36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52F84F4B">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4760" w:type="dxa"/>
            <w:tcBorders>
              <w:top w:val="nil"/>
              <w:left w:val="nil"/>
              <w:bottom w:val="single" w:color="auto" w:sz="4" w:space="0"/>
              <w:right w:val="single" w:color="auto" w:sz="4" w:space="0"/>
            </w:tcBorders>
            <w:shd w:val="clear" w:color="auto" w:fill="auto"/>
            <w:noWrap w:val="0"/>
            <w:vAlign w:val="center"/>
          </w:tcPr>
          <w:p w14:paraId="35D1BB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AMBU COM VALVULA DE PEEP, Reanimador pulmonar ressuscitador manual; construído em PVC de alta qualidade, o reanimador manual durável, resistente e fácil de limpar. Projetado para fornecer ventilação eficaz e segura durante situações de emergência. Kit inc - AMBU COM VALVULA DE PEEP, Reanimador pulmonar ressuscitador manual; construído em PVC de alta qualidade, o reanimador manual durável, resistente e fácil de limpar. Projetado para fornecer ventilação eficaz e segura durante situações de emergência. Kit inclui um adaptador e uma válvula PEEP para fornecer pressão positiva ao final da expiração. Características: Matéria Prima: A máscara feita de PVC, a válvula do paciente feita de policarbonato, a válvula limitadora de pressão (pop off) feita de policarbonato e silicone, a válvula interna feita de policarbonato, a bolsa de reserva de oxigênio feita de EVA e polipropileno, o tubo de oxigênio feito de PVC.</w:t>
            </w:r>
          </w:p>
        </w:tc>
        <w:tc>
          <w:tcPr>
            <w:tcW w:w="1540" w:type="dxa"/>
            <w:tcBorders>
              <w:top w:val="nil"/>
              <w:left w:val="nil"/>
              <w:bottom w:val="single" w:color="auto" w:sz="4" w:space="0"/>
              <w:right w:val="single" w:color="auto" w:sz="4" w:space="0"/>
            </w:tcBorders>
            <w:shd w:val="clear" w:color="auto" w:fill="auto"/>
            <w:noWrap/>
            <w:vAlign w:val="bottom"/>
          </w:tcPr>
          <w:p w14:paraId="0DCFF3F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299,00 </w:t>
            </w:r>
          </w:p>
        </w:tc>
        <w:tc>
          <w:tcPr>
            <w:tcW w:w="1620" w:type="dxa"/>
            <w:tcBorders>
              <w:top w:val="nil"/>
              <w:left w:val="nil"/>
              <w:bottom w:val="single" w:color="auto" w:sz="4" w:space="0"/>
              <w:right w:val="single" w:color="auto" w:sz="4" w:space="0"/>
            </w:tcBorders>
            <w:shd w:val="clear" w:color="auto" w:fill="auto"/>
            <w:noWrap/>
            <w:vAlign w:val="bottom"/>
          </w:tcPr>
          <w:p w14:paraId="5D9CE16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1.196,00 </w:t>
            </w:r>
          </w:p>
        </w:tc>
      </w:tr>
      <w:tr w14:paraId="595C523B">
        <w:tblPrEx>
          <w:tblCellMar>
            <w:top w:w="0" w:type="dxa"/>
            <w:left w:w="70" w:type="dxa"/>
            <w:bottom w:w="0" w:type="dxa"/>
            <w:right w:w="70" w:type="dxa"/>
          </w:tblCellMar>
        </w:tblPrEx>
        <w:trPr>
          <w:trHeight w:val="180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0FD0C7BA">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4</w:t>
            </w:r>
          </w:p>
        </w:tc>
        <w:tc>
          <w:tcPr>
            <w:tcW w:w="960" w:type="dxa"/>
            <w:tcBorders>
              <w:top w:val="nil"/>
              <w:left w:val="nil"/>
              <w:bottom w:val="single" w:color="auto" w:sz="4" w:space="0"/>
              <w:right w:val="single" w:color="auto" w:sz="4" w:space="0"/>
            </w:tcBorders>
            <w:shd w:val="clear" w:color="auto" w:fill="auto"/>
            <w:noWrap/>
            <w:vAlign w:val="bottom"/>
          </w:tcPr>
          <w:p w14:paraId="617D4FF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04C4CF98">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65AB9C9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ESPELHO DE MESA GRANDE, COM LENTE DE AUMENTO DUR A,FACE, MEDINDO 34 X 18,5 CM CROMADO, ESPELHO 7 POLEGADAS REDONDO - ESPELHO DE MESA GRANDE COM LENTE DE AUMENTO DUPLA-FACE, MEDINDO 34 X 18,5 CM CROMADO, ESPELHO 7 POLEGADAS REDONDO.</w:t>
            </w:r>
          </w:p>
        </w:tc>
        <w:tc>
          <w:tcPr>
            <w:tcW w:w="1540" w:type="dxa"/>
            <w:tcBorders>
              <w:top w:val="nil"/>
              <w:left w:val="nil"/>
              <w:bottom w:val="single" w:color="auto" w:sz="4" w:space="0"/>
              <w:right w:val="single" w:color="auto" w:sz="4" w:space="0"/>
            </w:tcBorders>
            <w:shd w:val="clear" w:color="auto" w:fill="auto"/>
            <w:noWrap/>
            <w:vAlign w:val="bottom"/>
          </w:tcPr>
          <w:p w14:paraId="17807A4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81,95 </w:t>
            </w:r>
          </w:p>
        </w:tc>
        <w:tc>
          <w:tcPr>
            <w:tcW w:w="1620" w:type="dxa"/>
            <w:tcBorders>
              <w:top w:val="nil"/>
              <w:left w:val="nil"/>
              <w:bottom w:val="single" w:color="auto" w:sz="4" w:space="0"/>
              <w:right w:val="single" w:color="auto" w:sz="4" w:space="0"/>
            </w:tcBorders>
            <w:shd w:val="clear" w:color="auto" w:fill="auto"/>
            <w:noWrap/>
            <w:vAlign w:val="bottom"/>
          </w:tcPr>
          <w:p w14:paraId="6138603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81,95 </w:t>
            </w:r>
          </w:p>
        </w:tc>
      </w:tr>
      <w:tr w14:paraId="3F329937">
        <w:tblPrEx>
          <w:tblCellMar>
            <w:top w:w="0" w:type="dxa"/>
            <w:left w:w="70" w:type="dxa"/>
            <w:bottom w:w="0" w:type="dxa"/>
            <w:right w:w="70" w:type="dxa"/>
          </w:tblCellMar>
        </w:tblPrEx>
        <w:trPr>
          <w:trHeight w:val="90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169D586A">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5</w:t>
            </w:r>
          </w:p>
        </w:tc>
        <w:tc>
          <w:tcPr>
            <w:tcW w:w="960" w:type="dxa"/>
            <w:tcBorders>
              <w:top w:val="nil"/>
              <w:left w:val="nil"/>
              <w:bottom w:val="single" w:color="auto" w:sz="4" w:space="0"/>
              <w:right w:val="single" w:color="auto" w:sz="4" w:space="0"/>
            </w:tcBorders>
            <w:shd w:val="clear" w:color="auto" w:fill="auto"/>
            <w:noWrap/>
            <w:vAlign w:val="bottom"/>
          </w:tcPr>
          <w:p w14:paraId="70DB2E7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7FF5C95F">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4760" w:type="dxa"/>
            <w:tcBorders>
              <w:top w:val="nil"/>
              <w:left w:val="nil"/>
              <w:bottom w:val="single" w:color="auto" w:sz="4" w:space="0"/>
              <w:right w:val="single" w:color="auto" w:sz="4" w:space="0"/>
            </w:tcBorders>
            <w:shd w:val="clear" w:color="auto" w:fill="auto"/>
            <w:noWrap w:val="0"/>
            <w:vAlign w:val="center"/>
          </w:tcPr>
          <w:p w14:paraId="18B0576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Genérico Cordão Autismo Quebra Cabeça + Porta Crachá Clip + Porta Bilhete Único Abre E Fecha Autista</w:t>
            </w:r>
          </w:p>
        </w:tc>
        <w:tc>
          <w:tcPr>
            <w:tcW w:w="1540" w:type="dxa"/>
            <w:tcBorders>
              <w:top w:val="nil"/>
              <w:left w:val="nil"/>
              <w:bottom w:val="single" w:color="auto" w:sz="4" w:space="0"/>
              <w:right w:val="single" w:color="auto" w:sz="4" w:space="0"/>
            </w:tcBorders>
            <w:shd w:val="clear" w:color="auto" w:fill="auto"/>
            <w:noWrap/>
            <w:vAlign w:val="bottom"/>
          </w:tcPr>
          <w:p w14:paraId="558D26E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4,67 </w:t>
            </w:r>
          </w:p>
        </w:tc>
        <w:tc>
          <w:tcPr>
            <w:tcW w:w="1620" w:type="dxa"/>
            <w:tcBorders>
              <w:top w:val="nil"/>
              <w:left w:val="nil"/>
              <w:bottom w:val="single" w:color="auto" w:sz="4" w:space="0"/>
              <w:right w:val="single" w:color="auto" w:sz="4" w:space="0"/>
            </w:tcBorders>
            <w:shd w:val="clear" w:color="auto" w:fill="auto"/>
            <w:noWrap/>
            <w:vAlign w:val="bottom"/>
          </w:tcPr>
          <w:p w14:paraId="26F148F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140,10 </w:t>
            </w:r>
          </w:p>
        </w:tc>
      </w:tr>
      <w:tr w14:paraId="03A75431">
        <w:tblPrEx>
          <w:tblCellMar>
            <w:top w:w="0" w:type="dxa"/>
            <w:left w:w="70" w:type="dxa"/>
            <w:bottom w:w="0" w:type="dxa"/>
            <w:right w:w="70"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694F6A62">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w:t>
            </w:r>
          </w:p>
        </w:tc>
        <w:tc>
          <w:tcPr>
            <w:tcW w:w="960" w:type="dxa"/>
            <w:tcBorders>
              <w:top w:val="nil"/>
              <w:left w:val="nil"/>
              <w:bottom w:val="single" w:color="auto" w:sz="4" w:space="0"/>
              <w:right w:val="single" w:color="auto" w:sz="4" w:space="0"/>
            </w:tcBorders>
            <w:shd w:val="clear" w:color="auto" w:fill="auto"/>
            <w:noWrap/>
            <w:vAlign w:val="bottom"/>
          </w:tcPr>
          <w:p w14:paraId="385B380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475C1817">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142ED29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PCL-R Protocolo Cognitivo-Linguístico</w:t>
            </w:r>
          </w:p>
        </w:tc>
        <w:tc>
          <w:tcPr>
            <w:tcW w:w="1540" w:type="dxa"/>
            <w:tcBorders>
              <w:top w:val="nil"/>
              <w:left w:val="nil"/>
              <w:bottom w:val="single" w:color="auto" w:sz="4" w:space="0"/>
              <w:right w:val="single" w:color="auto" w:sz="4" w:space="0"/>
            </w:tcBorders>
            <w:shd w:val="clear" w:color="auto" w:fill="auto"/>
            <w:noWrap/>
            <w:vAlign w:val="bottom"/>
          </w:tcPr>
          <w:p w14:paraId="134AFC00">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90,25 </w:t>
            </w:r>
          </w:p>
        </w:tc>
        <w:tc>
          <w:tcPr>
            <w:tcW w:w="1620" w:type="dxa"/>
            <w:tcBorders>
              <w:top w:val="nil"/>
              <w:left w:val="nil"/>
              <w:bottom w:val="single" w:color="auto" w:sz="4" w:space="0"/>
              <w:right w:val="single" w:color="auto" w:sz="4" w:space="0"/>
            </w:tcBorders>
            <w:shd w:val="clear" w:color="auto" w:fill="auto"/>
            <w:noWrap/>
            <w:vAlign w:val="bottom"/>
          </w:tcPr>
          <w:p w14:paraId="21B7CBC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90,25 </w:t>
            </w:r>
          </w:p>
        </w:tc>
      </w:tr>
      <w:tr w14:paraId="55B15543">
        <w:tblPrEx>
          <w:tblCellMar>
            <w:top w:w="0" w:type="dxa"/>
            <w:left w:w="70" w:type="dxa"/>
            <w:bottom w:w="0" w:type="dxa"/>
            <w:right w:w="70" w:type="dxa"/>
          </w:tblCellMar>
        </w:tblPrEx>
        <w:trPr>
          <w:trHeight w:val="2085"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4FA6118C">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7</w:t>
            </w:r>
          </w:p>
        </w:tc>
        <w:tc>
          <w:tcPr>
            <w:tcW w:w="960" w:type="dxa"/>
            <w:tcBorders>
              <w:top w:val="nil"/>
              <w:left w:val="nil"/>
              <w:bottom w:val="single" w:color="auto" w:sz="4" w:space="0"/>
              <w:right w:val="single" w:color="auto" w:sz="4" w:space="0"/>
            </w:tcBorders>
            <w:shd w:val="clear" w:color="auto" w:fill="auto"/>
            <w:noWrap/>
            <w:vAlign w:val="bottom"/>
          </w:tcPr>
          <w:p w14:paraId="61B7D73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6D182C3F">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6B322F0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PROC - PROTOCOLO DE OBSERVAÇÃO COMPORTAMENTAL: PROC - PROTOCOLO DE OBSERVAÇÃO COMPORTAMENTAL: Avaliação de Linguagem Crianças pequenas não falam e não compreendem a linguagem como os adultos, ou mesmo como as crianças mais velhas. Por estarem em processo - PROC - PROTOCOLO DE OBSERVAÇÃO COMPORTAMENTAL: PROC - PROTOCOLO DE OBSERVAÇÃO COMPORTAMENTAL: Avaliação de Linguagem Crianças pequenas não falam e não compreendem a linguagem como os adultos, ou mesmo como as crianças mais velhas. Por estarem em processo de desenvolvimento, sua linguagem apresenta uma série de características peculiares que podem , muitas vezes, ser interpretadas como alteração. Embora existam diversos procedimentos para avaliação de crianças pequenas em âmbito mundial, não há como negar que existem poucos recursos clínicos à disposição dos fonoaudiólogos brasileiros, especialmente tratando-se de crianças até 4 anos (48 meses). Neste sentido, estamos apresentando um Protocolo de Observação Comportamental (PROC) para a avaliação do desenvolvimento comunicativo e cognitivo infantil.</w:t>
            </w:r>
          </w:p>
        </w:tc>
        <w:tc>
          <w:tcPr>
            <w:tcW w:w="1540" w:type="dxa"/>
            <w:tcBorders>
              <w:top w:val="nil"/>
              <w:left w:val="nil"/>
              <w:bottom w:val="single" w:color="auto" w:sz="4" w:space="0"/>
              <w:right w:val="single" w:color="auto" w:sz="4" w:space="0"/>
            </w:tcBorders>
            <w:shd w:val="clear" w:color="auto" w:fill="auto"/>
            <w:noWrap/>
            <w:vAlign w:val="bottom"/>
          </w:tcPr>
          <w:p w14:paraId="125F390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52,00 </w:t>
            </w:r>
          </w:p>
        </w:tc>
        <w:tc>
          <w:tcPr>
            <w:tcW w:w="1620" w:type="dxa"/>
            <w:tcBorders>
              <w:top w:val="nil"/>
              <w:left w:val="nil"/>
              <w:bottom w:val="single" w:color="auto" w:sz="4" w:space="0"/>
              <w:right w:val="single" w:color="auto" w:sz="4" w:space="0"/>
            </w:tcBorders>
            <w:shd w:val="clear" w:color="auto" w:fill="auto"/>
            <w:noWrap/>
            <w:vAlign w:val="bottom"/>
          </w:tcPr>
          <w:p w14:paraId="03D0DF8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52,00 </w:t>
            </w:r>
          </w:p>
        </w:tc>
      </w:tr>
      <w:tr w14:paraId="1CCDA069">
        <w:tblPrEx>
          <w:tblCellMar>
            <w:top w:w="0" w:type="dxa"/>
            <w:left w:w="70" w:type="dxa"/>
            <w:bottom w:w="0" w:type="dxa"/>
            <w:right w:w="70" w:type="dxa"/>
          </w:tblCellMar>
        </w:tblPrEx>
        <w:trPr>
          <w:trHeight w:val="600"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2D7EAB72">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8</w:t>
            </w:r>
          </w:p>
        </w:tc>
        <w:tc>
          <w:tcPr>
            <w:tcW w:w="960" w:type="dxa"/>
            <w:tcBorders>
              <w:top w:val="nil"/>
              <w:left w:val="nil"/>
              <w:bottom w:val="single" w:color="auto" w:sz="4" w:space="0"/>
              <w:right w:val="single" w:color="auto" w:sz="4" w:space="0"/>
            </w:tcBorders>
            <w:shd w:val="clear" w:color="auto" w:fill="auto"/>
            <w:noWrap/>
            <w:vAlign w:val="bottom"/>
          </w:tcPr>
          <w:p w14:paraId="3B16FA4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60" w:type="dxa"/>
            <w:tcBorders>
              <w:top w:val="nil"/>
              <w:left w:val="nil"/>
              <w:bottom w:val="single" w:color="auto" w:sz="4" w:space="0"/>
              <w:right w:val="single" w:color="auto" w:sz="4" w:space="0"/>
            </w:tcBorders>
            <w:shd w:val="clear" w:color="auto" w:fill="auto"/>
            <w:noWrap w:val="0"/>
            <w:vAlign w:val="center"/>
          </w:tcPr>
          <w:p w14:paraId="1ACBA360">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4760" w:type="dxa"/>
            <w:tcBorders>
              <w:top w:val="nil"/>
              <w:left w:val="nil"/>
              <w:bottom w:val="single" w:color="auto" w:sz="4" w:space="0"/>
              <w:right w:val="single" w:color="auto" w:sz="4" w:space="0"/>
            </w:tcBorders>
            <w:shd w:val="clear" w:color="auto" w:fill="auto"/>
            <w:noWrap w:val="0"/>
            <w:vAlign w:val="center"/>
          </w:tcPr>
          <w:p w14:paraId="6AD0FA4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Teste de Reabilitação das Afasias - Rio de Janeiro Terceira Edição</w:t>
            </w:r>
          </w:p>
        </w:tc>
        <w:tc>
          <w:tcPr>
            <w:tcW w:w="1540" w:type="dxa"/>
            <w:tcBorders>
              <w:top w:val="nil"/>
              <w:left w:val="nil"/>
              <w:bottom w:val="single" w:color="auto" w:sz="4" w:space="0"/>
              <w:right w:val="single" w:color="auto" w:sz="4" w:space="0"/>
            </w:tcBorders>
            <w:shd w:val="clear" w:color="auto" w:fill="auto"/>
            <w:noWrap/>
            <w:vAlign w:val="bottom"/>
          </w:tcPr>
          <w:p w14:paraId="65ACD24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48,83 </w:t>
            </w:r>
          </w:p>
        </w:tc>
        <w:tc>
          <w:tcPr>
            <w:tcW w:w="1620" w:type="dxa"/>
            <w:tcBorders>
              <w:top w:val="nil"/>
              <w:left w:val="nil"/>
              <w:bottom w:val="single" w:color="auto" w:sz="4" w:space="0"/>
              <w:right w:val="single" w:color="auto" w:sz="4" w:space="0"/>
            </w:tcBorders>
            <w:shd w:val="clear" w:color="auto" w:fill="auto"/>
            <w:noWrap/>
            <w:vAlign w:val="bottom"/>
          </w:tcPr>
          <w:p w14:paraId="4468BEB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48,83 </w:t>
            </w:r>
          </w:p>
        </w:tc>
      </w:tr>
      <w:tr w14:paraId="3BEC7F0E">
        <w:tblPrEx>
          <w:tblCellMar>
            <w:top w:w="0" w:type="dxa"/>
            <w:left w:w="70" w:type="dxa"/>
            <w:bottom w:w="0" w:type="dxa"/>
            <w:right w:w="70" w:type="dxa"/>
          </w:tblCellMar>
        </w:tblPrEx>
        <w:trPr>
          <w:trHeight w:val="300" w:hRule="atLeast"/>
        </w:trPr>
        <w:tc>
          <w:tcPr>
            <w:tcW w:w="960" w:type="dxa"/>
            <w:tcBorders>
              <w:top w:val="nil"/>
              <w:left w:val="nil"/>
              <w:bottom w:val="nil"/>
              <w:right w:val="nil"/>
            </w:tcBorders>
            <w:shd w:val="clear" w:color="auto" w:fill="auto"/>
            <w:noWrap/>
            <w:vAlign w:val="bottom"/>
          </w:tcPr>
          <w:p w14:paraId="385A09D1">
            <w:pPr>
              <w:suppressAutoHyphens w:val="0"/>
              <w:rPr>
                <w:rFonts w:ascii="Aptos Narrow" w:hAnsi="Aptos Narrow"/>
                <w:color w:val="000000"/>
                <w:sz w:val="22"/>
                <w:szCs w:val="22"/>
                <w:lang w:eastAsia="pt-BR"/>
              </w:rPr>
            </w:pPr>
          </w:p>
        </w:tc>
        <w:tc>
          <w:tcPr>
            <w:tcW w:w="960" w:type="dxa"/>
            <w:tcBorders>
              <w:top w:val="nil"/>
              <w:left w:val="nil"/>
              <w:bottom w:val="nil"/>
              <w:right w:val="nil"/>
            </w:tcBorders>
            <w:shd w:val="clear" w:color="auto" w:fill="auto"/>
            <w:noWrap/>
            <w:vAlign w:val="bottom"/>
          </w:tcPr>
          <w:p w14:paraId="0D5005B1">
            <w:pPr>
              <w:suppressAutoHyphens w:val="0"/>
              <w:rPr>
                <w:lang w:eastAsia="pt-BR"/>
              </w:rPr>
            </w:pPr>
          </w:p>
        </w:tc>
        <w:tc>
          <w:tcPr>
            <w:tcW w:w="960" w:type="dxa"/>
            <w:tcBorders>
              <w:top w:val="nil"/>
              <w:left w:val="nil"/>
              <w:bottom w:val="nil"/>
              <w:right w:val="nil"/>
            </w:tcBorders>
            <w:shd w:val="clear" w:color="auto" w:fill="auto"/>
            <w:noWrap/>
            <w:vAlign w:val="bottom"/>
          </w:tcPr>
          <w:p w14:paraId="4CBBD284">
            <w:pPr>
              <w:suppressAutoHyphens w:val="0"/>
              <w:rPr>
                <w:lang w:eastAsia="pt-BR"/>
              </w:rPr>
            </w:pPr>
          </w:p>
        </w:tc>
        <w:tc>
          <w:tcPr>
            <w:tcW w:w="4760" w:type="dxa"/>
            <w:tcBorders>
              <w:top w:val="nil"/>
              <w:left w:val="nil"/>
              <w:bottom w:val="nil"/>
              <w:right w:val="nil"/>
            </w:tcBorders>
            <w:shd w:val="clear" w:color="auto" w:fill="auto"/>
            <w:noWrap/>
            <w:vAlign w:val="bottom"/>
          </w:tcPr>
          <w:p w14:paraId="79286B59">
            <w:pPr>
              <w:suppressAutoHyphens w:val="0"/>
              <w:rPr>
                <w:lang w:eastAsia="pt-BR"/>
              </w:rPr>
            </w:pPr>
          </w:p>
        </w:tc>
        <w:tc>
          <w:tcPr>
            <w:tcW w:w="1540" w:type="dxa"/>
            <w:tcBorders>
              <w:top w:val="nil"/>
              <w:left w:val="single" w:color="auto" w:sz="4" w:space="0"/>
              <w:bottom w:val="single" w:color="auto" w:sz="4" w:space="0"/>
              <w:right w:val="single" w:color="auto" w:sz="4" w:space="0"/>
            </w:tcBorders>
            <w:shd w:val="clear" w:color="auto" w:fill="auto"/>
            <w:noWrap/>
            <w:vAlign w:val="bottom"/>
          </w:tcPr>
          <w:p w14:paraId="1E3790A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1620" w:type="dxa"/>
            <w:tcBorders>
              <w:top w:val="nil"/>
              <w:left w:val="nil"/>
              <w:bottom w:val="single" w:color="auto" w:sz="4" w:space="0"/>
              <w:right w:val="single" w:color="auto" w:sz="4" w:space="0"/>
            </w:tcBorders>
            <w:shd w:val="clear" w:color="auto" w:fill="auto"/>
            <w:noWrap/>
            <w:vAlign w:val="bottom"/>
          </w:tcPr>
          <w:p w14:paraId="396B483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3.576,08 </w:t>
            </w:r>
          </w:p>
        </w:tc>
      </w:tr>
    </w:tbl>
    <w:p w14:paraId="5777AB55">
      <w:pPr>
        <w:spacing w:line="360" w:lineRule="auto"/>
        <w:ind w:right="-708"/>
        <w:jc w:val="both"/>
        <w:rPr>
          <w:rFonts w:ascii="Arial" w:hAnsi="Arial" w:cs="Arial"/>
          <w:b/>
          <w:bCs/>
          <w:sz w:val="24"/>
          <w:szCs w:val="24"/>
        </w:rPr>
      </w:pPr>
    </w:p>
    <w:p w14:paraId="5508F80F">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0238A026">
      <w:pPr>
        <w:spacing w:line="360" w:lineRule="auto"/>
        <w:ind w:left="-567" w:right="-708" w:firstLine="709"/>
        <w:jc w:val="both"/>
        <w:rPr>
          <w:rFonts w:ascii="Arial" w:hAnsi="Arial" w:cs="Arial"/>
          <w:b/>
          <w:bCs/>
          <w:sz w:val="24"/>
          <w:szCs w:val="24"/>
        </w:rPr>
      </w:pPr>
    </w:p>
    <w:p w14:paraId="09A2E818">
      <w:pPr>
        <w:suppressAutoHyphens w:val="0"/>
        <w:spacing w:line="360" w:lineRule="auto"/>
        <w:ind w:left="-709" w:right="-711" w:firstLine="851"/>
        <w:jc w:val="both"/>
        <w:rPr>
          <w:rFonts w:ascii="Arial" w:hAnsi="Arial" w:cs="Arial"/>
          <w:b/>
          <w:bCs/>
          <w:sz w:val="22"/>
          <w:szCs w:val="22"/>
        </w:rPr>
      </w:pPr>
      <w:bookmarkStart w:id="4" w:name="_Hlk188951126"/>
      <w:bookmarkStart w:id="5" w:name="_Hlk188602307"/>
      <w:r>
        <w:rPr>
          <w:rFonts w:ascii="Arial" w:hAnsi="Arial" w:cs="Arial"/>
          <w:b/>
          <w:bCs/>
          <w:sz w:val="22"/>
          <w:szCs w:val="22"/>
        </w:rPr>
        <w:t xml:space="preserve">Recurso municipal / estadual / federal </w:t>
      </w:r>
    </w:p>
    <w:p w14:paraId="6C13454C">
      <w:pPr>
        <w:suppressAutoHyphens w:val="0"/>
        <w:spacing w:line="360" w:lineRule="auto"/>
        <w:ind w:left="-709" w:right="-711" w:firstLine="851"/>
        <w:jc w:val="both"/>
        <w:rPr>
          <w:rFonts w:ascii="Arial" w:hAnsi="Arial" w:cs="Arial"/>
          <w:sz w:val="22"/>
          <w:szCs w:val="22"/>
        </w:rPr>
      </w:pPr>
    </w:p>
    <w:p w14:paraId="60703DA3">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40B3604F">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0E9CDA41">
      <w:pPr>
        <w:suppressAutoHyphens w:val="0"/>
        <w:spacing w:line="360" w:lineRule="auto"/>
        <w:ind w:left="-709" w:right="-711" w:firstLine="851"/>
        <w:jc w:val="both"/>
        <w:rPr>
          <w:rFonts w:ascii="Arial" w:hAnsi="Arial" w:cs="Arial"/>
          <w:sz w:val="22"/>
          <w:szCs w:val="22"/>
        </w:rPr>
      </w:pPr>
    </w:p>
    <w:p w14:paraId="509BBD03">
      <w:pPr>
        <w:suppressAutoHyphens w:val="0"/>
        <w:spacing w:line="360" w:lineRule="auto"/>
        <w:ind w:left="-709" w:right="-711" w:firstLine="851"/>
        <w:jc w:val="both"/>
        <w:rPr>
          <w:rFonts w:ascii="Arial" w:hAnsi="Arial" w:cs="Arial"/>
          <w:b/>
          <w:bCs/>
          <w:sz w:val="22"/>
          <w:szCs w:val="22"/>
        </w:rPr>
      </w:pPr>
      <w:r>
        <w:rPr>
          <w:rFonts w:ascii="Arial" w:hAnsi="Arial" w:cs="Arial"/>
          <w:b/>
          <w:bCs/>
          <w:sz w:val="22"/>
          <w:szCs w:val="22"/>
        </w:rPr>
        <w:t xml:space="preserve">FICHA 266 </w:t>
      </w:r>
    </w:p>
    <w:bookmarkEnd w:id="4"/>
    <w:p w14:paraId="36FBCC80">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10.301.0034.2015.00004.4.90.52.00 </w:t>
      </w:r>
    </w:p>
    <w:p w14:paraId="1FA6AC63">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p>
    <w:p w14:paraId="2B343FA7">
      <w:pPr>
        <w:suppressAutoHyphens w:val="0"/>
        <w:spacing w:line="360" w:lineRule="auto"/>
        <w:ind w:right="-711" w:firstLine="142"/>
        <w:jc w:val="both"/>
        <w:rPr>
          <w:rFonts w:ascii="Arial" w:hAnsi="Arial" w:cs="Arial"/>
          <w:sz w:val="22"/>
          <w:szCs w:val="22"/>
        </w:rPr>
      </w:pPr>
    </w:p>
    <w:p w14:paraId="1A0C5CCE">
      <w:pPr>
        <w:suppressAutoHyphens w:val="0"/>
        <w:spacing w:line="360" w:lineRule="auto"/>
        <w:ind w:right="-711" w:firstLine="142"/>
        <w:jc w:val="both"/>
        <w:rPr>
          <w:rFonts w:ascii="Arial" w:hAnsi="Arial" w:cs="Arial"/>
          <w:b/>
          <w:bCs/>
          <w:sz w:val="22"/>
          <w:szCs w:val="22"/>
        </w:rPr>
      </w:pPr>
      <w:r>
        <w:rPr>
          <w:rFonts w:ascii="Arial" w:hAnsi="Arial" w:cs="Arial"/>
          <w:b/>
          <w:bCs/>
          <w:sz w:val="22"/>
          <w:szCs w:val="22"/>
        </w:rPr>
        <w:t>FICHA 308</w:t>
      </w:r>
    </w:p>
    <w:p w14:paraId="5B21A2F2">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10.305.0034.2038.00004.4.90.52.00 </w:t>
      </w:r>
    </w:p>
    <w:p w14:paraId="754A7DFB">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bookmarkEnd w:id="5"/>
    </w:p>
    <w:p w14:paraId="508B5FEE">
      <w:pPr>
        <w:suppressAutoHyphens w:val="0"/>
        <w:spacing w:line="360" w:lineRule="auto"/>
        <w:ind w:right="-711" w:firstLine="142"/>
        <w:jc w:val="both"/>
        <w:rPr>
          <w:rFonts w:ascii="Arial" w:hAnsi="Arial" w:cs="Arial"/>
          <w:sz w:val="22"/>
          <w:szCs w:val="22"/>
        </w:rPr>
      </w:pPr>
    </w:p>
    <w:p w14:paraId="3C0730B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258</w:t>
      </w:r>
    </w:p>
    <w:p w14:paraId="6A428ECE">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10.301.0034.2015.00003.3.90.30.00</w:t>
      </w:r>
    </w:p>
    <w:p w14:paraId="34CDBAE6">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5A9FE9DA">
      <w:pPr>
        <w:suppressAutoHyphens w:val="0"/>
        <w:spacing w:line="360" w:lineRule="auto"/>
        <w:ind w:left="1985" w:right="-853" w:hanging="1843"/>
        <w:jc w:val="both"/>
        <w:rPr>
          <w:rFonts w:ascii="Arial" w:hAnsi="Arial" w:cs="Arial"/>
          <w:sz w:val="22"/>
          <w:szCs w:val="22"/>
        </w:rPr>
      </w:pPr>
    </w:p>
    <w:p w14:paraId="4390AF83">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269</w:t>
      </w:r>
    </w:p>
    <w:p w14:paraId="2D85A05A">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10.301.0034.2015.00163.3.90.30.00</w:t>
      </w:r>
    </w:p>
    <w:p w14:paraId="417E7674">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15E0B839">
      <w:pPr>
        <w:suppressAutoHyphens w:val="0"/>
        <w:spacing w:line="360" w:lineRule="auto"/>
        <w:ind w:left="1985" w:right="-853" w:hanging="1843"/>
        <w:jc w:val="both"/>
        <w:rPr>
          <w:rFonts w:ascii="Arial" w:hAnsi="Arial" w:cs="Arial"/>
          <w:sz w:val="22"/>
          <w:szCs w:val="22"/>
        </w:rPr>
      </w:pPr>
    </w:p>
    <w:p w14:paraId="5248EC55">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275</w:t>
      </w:r>
    </w:p>
    <w:p w14:paraId="26FA5E85">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10.301.0034.2015.00433.3.90.30.00</w:t>
      </w:r>
    </w:p>
    <w:p w14:paraId="737D3B76">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288BAB96">
      <w:pPr>
        <w:suppressAutoHyphens w:val="0"/>
        <w:spacing w:line="360" w:lineRule="auto"/>
        <w:ind w:left="1985" w:right="-853" w:hanging="1843"/>
        <w:jc w:val="both"/>
        <w:rPr>
          <w:rFonts w:ascii="Arial" w:hAnsi="Arial" w:cs="Arial"/>
          <w:sz w:val="22"/>
          <w:szCs w:val="22"/>
        </w:rPr>
      </w:pPr>
    </w:p>
    <w:p w14:paraId="743CEEE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277</w:t>
      </w:r>
    </w:p>
    <w:p w14:paraId="0F03C050">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10.301.0034.2015.00503.3.90.30.00</w:t>
      </w:r>
    </w:p>
    <w:p w14:paraId="7AF0C3D8">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165F0C99">
      <w:pPr>
        <w:suppressAutoHyphens w:val="0"/>
        <w:spacing w:line="360" w:lineRule="auto"/>
        <w:ind w:left="1985" w:right="-853" w:hanging="1843"/>
        <w:jc w:val="both"/>
        <w:rPr>
          <w:rFonts w:ascii="Arial" w:hAnsi="Arial" w:cs="Arial"/>
          <w:b/>
          <w:bCs/>
          <w:sz w:val="22"/>
          <w:szCs w:val="22"/>
        </w:rPr>
      </w:pPr>
    </w:p>
    <w:p w14:paraId="4B99712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298</w:t>
      </w:r>
    </w:p>
    <w:p w14:paraId="25B0BACD">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10.302.0034.2041.03103.3.90.30.00</w:t>
      </w:r>
    </w:p>
    <w:p w14:paraId="0A9C776A">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11A82942">
      <w:pPr>
        <w:suppressAutoHyphens w:val="0"/>
        <w:spacing w:line="360" w:lineRule="auto"/>
        <w:ind w:left="1985" w:right="-853" w:hanging="1843"/>
        <w:jc w:val="both"/>
        <w:rPr>
          <w:rFonts w:ascii="Arial" w:hAnsi="Arial" w:cs="Arial"/>
          <w:b/>
          <w:bCs/>
          <w:sz w:val="22"/>
          <w:szCs w:val="22"/>
        </w:rPr>
      </w:pPr>
    </w:p>
    <w:p w14:paraId="7D78128A">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305</w:t>
      </w:r>
    </w:p>
    <w:p w14:paraId="37204DB3">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10.305.0034.2038.00003.3.90.30.00</w:t>
      </w:r>
    </w:p>
    <w:p w14:paraId="433800B8">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7DA4B5BC">
      <w:pPr>
        <w:suppressAutoHyphens w:val="0"/>
        <w:spacing w:line="360" w:lineRule="auto"/>
        <w:ind w:left="1985" w:right="-853" w:hanging="1843"/>
        <w:jc w:val="both"/>
        <w:rPr>
          <w:rFonts w:ascii="Arial" w:hAnsi="Arial" w:cs="Arial"/>
          <w:b/>
          <w:bCs/>
          <w:sz w:val="22"/>
          <w:szCs w:val="22"/>
        </w:rPr>
      </w:pPr>
    </w:p>
    <w:p w14:paraId="2D5D0528">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 xml:space="preserve">FICHA 310 </w:t>
      </w:r>
    </w:p>
    <w:p w14:paraId="43F06EE4">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10.305.0034.2038.00053.3.90.30.00</w:t>
      </w:r>
    </w:p>
    <w:p w14:paraId="3184373D">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1F5C18C9">
      <w:pPr>
        <w:spacing w:line="360" w:lineRule="auto"/>
        <w:ind w:right="-708"/>
        <w:jc w:val="both"/>
        <w:rPr>
          <w:rFonts w:ascii="Arial" w:hAnsi="Arial" w:eastAsia="Arial-BoldMT" w:cs="Arial"/>
          <w:b/>
          <w:bCs/>
          <w:sz w:val="24"/>
          <w:szCs w:val="24"/>
        </w:rPr>
      </w:pPr>
    </w:p>
    <w:p w14:paraId="1EF7EBD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440A7147">
      <w:pPr>
        <w:spacing w:line="360" w:lineRule="auto"/>
        <w:ind w:left="-567" w:right="-708" w:firstLine="709"/>
        <w:jc w:val="both"/>
        <w:rPr>
          <w:rFonts w:ascii="Arial" w:hAnsi="Arial" w:eastAsia="Arial-BoldMT" w:cs="Arial"/>
          <w:b/>
          <w:bCs/>
          <w:sz w:val="24"/>
          <w:szCs w:val="24"/>
        </w:rPr>
      </w:pPr>
    </w:p>
    <w:p w14:paraId="050FAE6A">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Os materiais a ser adquiridos deverão atender rigorosamente às especificações técnicas padronizadas, conforme catálogos eletrônicos de referência do órgão público ou normas técnicas aplicáveis, garantindo qualidade certificada por órgãos competentes como ANVISA e INMETRO. </w:t>
      </w:r>
    </w:p>
    <w:p w14:paraId="41588771">
      <w:pPr>
        <w:spacing w:line="360" w:lineRule="auto"/>
        <w:ind w:right="-708"/>
        <w:jc w:val="both"/>
        <w:rPr>
          <w:rFonts w:ascii="Arial" w:hAnsi="Arial" w:eastAsia="Arial-BoldMT" w:cs="Arial"/>
          <w:sz w:val="24"/>
          <w:szCs w:val="24"/>
        </w:rPr>
      </w:pPr>
    </w:p>
    <w:p w14:paraId="44273E7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1372313">
      <w:pPr>
        <w:spacing w:line="360" w:lineRule="auto"/>
        <w:ind w:left="-567" w:right="-708" w:firstLine="709"/>
        <w:jc w:val="both"/>
        <w:rPr>
          <w:rFonts w:ascii="Arial" w:hAnsi="Arial" w:eastAsia="Arial-BoldMT" w:cs="Arial"/>
          <w:sz w:val="24"/>
          <w:szCs w:val="24"/>
        </w:rPr>
      </w:pPr>
    </w:p>
    <w:p w14:paraId="11646AC1">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165B599E">
      <w:pPr>
        <w:spacing w:line="360" w:lineRule="auto"/>
        <w:ind w:left="-567" w:right="-428" w:firstLine="709"/>
        <w:jc w:val="both"/>
        <w:rPr>
          <w:rFonts w:ascii="Arial" w:hAnsi="Arial" w:eastAsia="Arial-BoldMT" w:cs="Arial"/>
          <w:b/>
          <w:bCs/>
          <w:sz w:val="24"/>
          <w:szCs w:val="24"/>
        </w:rPr>
      </w:pPr>
    </w:p>
    <w:p w14:paraId="38E467D4">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UBS dr. Cleomar Borges de Oliveira </w:t>
      </w:r>
      <w:r>
        <w:rPr>
          <w:rFonts w:ascii="Arial" w:hAnsi="Arial" w:eastAsia="Arial-BoldMT" w:cs="Arial"/>
          <w:sz w:val="24"/>
          <w:szCs w:val="24"/>
        </w:rPr>
        <w:t>em até 15 dias após a emissão do pedido de compra</w:t>
      </w:r>
    </w:p>
    <w:p w14:paraId="4ADE78DA">
      <w:pPr>
        <w:spacing w:line="360" w:lineRule="auto"/>
        <w:ind w:left="-567" w:right="-708" w:firstLine="709"/>
        <w:jc w:val="both"/>
        <w:rPr>
          <w:rFonts w:ascii="Arial" w:hAnsi="Arial" w:eastAsia="Arial-BoldMT" w:cs="Arial"/>
          <w:sz w:val="24"/>
          <w:szCs w:val="24"/>
        </w:rPr>
      </w:pPr>
    </w:p>
    <w:p w14:paraId="7631D64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19701483">
      <w:pPr>
        <w:spacing w:line="360" w:lineRule="auto"/>
        <w:ind w:left="-567" w:right="-708" w:firstLine="709"/>
        <w:jc w:val="both"/>
        <w:rPr>
          <w:rFonts w:ascii="Arial" w:hAnsi="Arial" w:eastAsia="Arial-BoldMT" w:cs="Arial"/>
          <w:b/>
          <w:bCs/>
          <w:sz w:val="24"/>
          <w:szCs w:val="24"/>
        </w:rPr>
      </w:pPr>
    </w:p>
    <w:p w14:paraId="67B2DE0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A garantia dos produtos adquiridos será de 30 dias corridos a partir da data de entrega, abrangendo defeitos de fabricação, mau funcionamento ou não conformidade com as especificações técnicas descritas. Durante este período, o fornecedor deverá assegurar assistência técnica imediata para reparo ou substituição integral dos itens, sem custo adicional. </w:t>
      </w:r>
    </w:p>
    <w:p w14:paraId="06521CC2">
      <w:pPr>
        <w:spacing w:line="360" w:lineRule="auto"/>
        <w:ind w:left="-567" w:right="-708" w:firstLine="709"/>
        <w:jc w:val="both"/>
        <w:rPr>
          <w:rFonts w:ascii="Arial" w:hAnsi="Arial" w:eastAsia="Arial-BoldMT" w:cs="Arial"/>
          <w:b/>
          <w:bCs/>
          <w:sz w:val="24"/>
          <w:szCs w:val="24"/>
        </w:rPr>
      </w:pPr>
    </w:p>
    <w:p w14:paraId="67DD2E8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605BAD0F">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251919C0">
      <w:pPr>
        <w:spacing w:line="360" w:lineRule="auto"/>
        <w:ind w:left="-567" w:right="-708" w:firstLine="709"/>
        <w:jc w:val="both"/>
        <w:rPr>
          <w:rFonts w:ascii="Arial" w:hAnsi="Arial" w:eastAsia="Arial-BoldMT" w:cs="Arial"/>
          <w:sz w:val="24"/>
          <w:szCs w:val="24"/>
        </w:rPr>
      </w:pPr>
    </w:p>
    <w:p w14:paraId="2A21C5FA">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090C165D">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Saúde de Rifaina</w:t>
      </w:r>
    </w:p>
    <w:p w14:paraId="425FD878">
      <w:pPr>
        <w:spacing w:line="360" w:lineRule="auto"/>
        <w:ind w:left="-567" w:right="-708" w:firstLine="709"/>
        <w:jc w:val="both"/>
        <w:rPr>
          <w:rFonts w:ascii="Arial" w:hAnsi="Arial" w:eastAsia="Arial-BoldMT" w:cs="Arial"/>
          <w:sz w:val="24"/>
          <w:szCs w:val="24"/>
        </w:rPr>
      </w:pPr>
    </w:p>
    <w:p w14:paraId="753ABED8">
      <w:pPr>
        <w:spacing w:line="360" w:lineRule="auto"/>
        <w:ind w:left="-567" w:right="-708" w:firstLine="709"/>
        <w:jc w:val="both"/>
        <w:rPr>
          <w:rFonts w:ascii="Arial" w:hAnsi="Arial" w:cs="Arial"/>
          <w:sz w:val="24"/>
          <w:szCs w:val="24"/>
        </w:rPr>
      </w:pPr>
      <w:r>
        <w:rPr>
          <w:rFonts w:ascii="Arial" w:hAnsi="Arial" w:cs="Arial"/>
          <w:sz w:val="24"/>
          <w:szCs w:val="24"/>
        </w:rPr>
        <w:t>Rifaina, 07 de abril de 2025.</w:t>
      </w:r>
    </w:p>
    <w:p w14:paraId="1905C4D3">
      <w:pPr>
        <w:spacing w:line="360" w:lineRule="auto"/>
        <w:ind w:right="-708"/>
        <w:jc w:val="both"/>
        <w:rPr>
          <w:rFonts w:ascii="Arial" w:hAnsi="Arial" w:cs="Arial"/>
          <w:sz w:val="24"/>
          <w:szCs w:val="24"/>
        </w:rPr>
      </w:pPr>
    </w:p>
    <w:p w14:paraId="732C39D1">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7EDCFC87">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03F68546">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7EA3F2BF">
      <w:pPr>
        <w:ind w:right="-708"/>
        <w:jc w:val="both"/>
        <w:rPr>
          <w:rFonts w:ascii="Arial" w:hAnsi="Arial" w:cs="Arial"/>
          <w:sz w:val="24"/>
          <w:szCs w:val="24"/>
        </w:rPr>
      </w:pPr>
    </w:p>
    <w:p w14:paraId="745DF52F">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15BF455">
      <w:pPr>
        <w:spacing w:line="360" w:lineRule="auto"/>
        <w:ind w:left="-567" w:right="-708" w:firstLine="709"/>
        <w:jc w:val="both"/>
        <w:rPr>
          <w:rFonts w:ascii="Arial" w:hAnsi="Arial" w:cs="Arial"/>
          <w:sz w:val="24"/>
          <w:szCs w:val="24"/>
        </w:rPr>
      </w:pPr>
      <w:r>
        <w:rPr>
          <w:rFonts w:ascii="Arial" w:hAnsi="Arial" w:eastAsia="Arial-BoldMT" w:cs="Arial"/>
          <w:sz w:val="24"/>
          <w:szCs w:val="24"/>
        </w:rPr>
        <w:t>Alysson Silva Gonçalves</w:t>
      </w:r>
      <w:r>
        <w:rPr>
          <w:rFonts w:ascii="Arial" w:hAnsi="Arial" w:cs="Arial"/>
          <w:sz w:val="24"/>
          <w:szCs w:val="24"/>
        </w:rPr>
        <w:t xml:space="preserve"> </w:t>
      </w:r>
    </w:p>
    <w:p w14:paraId="59A52E54">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7A935A82">
      <w:pPr>
        <w:pStyle w:val="2"/>
        <w:spacing w:before="71"/>
        <w:ind w:left="0" w:right="889"/>
        <w:rPr>
          <w:spacing w:val="-10"/>
          <w:w w:val="115"/>
        </w:rPr>
      </w:pPr>
    </w:p>
    <w:p w14:paraId="2F9F6845">
      <w:pPr>
        <w:pStyle w:val="2"/>
        <w:spacing w:before="71"/>
        <w:ind w:left="0" w:right="889"/>
        <w:rPr>
          <w:spacing w:val="-10"/>
          <w:w w:val="115"/>
        </w:rPr>
      </w:pPr>
    </w:p>
    <w:p w14:paraId="5DE9BDBA">
      <w:pPr>
        <w:pStyle w:val="2"/>
        <w:spacing w:before="71"/>
        <w:ind w:left="0" w:right="889"/>
        <w:rPr>
          <w:spacing w:val="-10"/>
          <w:w w:val="115"/>
        </w:rPr>
      </w:pPr>
    </w:p>
    <w:p w14:paraId="36153847">
      <w:pPr>
        <w:pStyle w:val="2"/>
        <w:spacing w:before="71"/>
        <w:ind w:left="0" w:right="889"/>
        <w:rPr>
          <w:spacing w:val="-10"/>
          <w:w w:val="115"/>
        </w:rPr>
      </w:pPr>
    </w:p>
    <w:p w14:paraId="44232E0A">
      <w:pPr>
        <w:pStyle w:val="2"/>
        <w:spacing w:before="71"/>
        <w:ind w:left="0" w:right="889"/>
        <w:rPr>
          <w:spacing w:val="-10"/>
          <w:w w:val="115"/>
        </w:rPr>
      </w:pPr>
    </w:p>
    <w:p w14:paraId="19FFC380">
      <w:pPr>
        <w:pStyle w:val="2"/>
        <w:spacing w:before="71"/>
        <w:ind w:left="0" w:right="889"/>
        <w:rPr>
          <w:spacing w:val="-10"/>
          <w:w w:val="115"/>
        </w:rPr>
      </w:pPr>
    </w:p>
    <w:p w14:paraId="7DEF8E8F">
      <w:pPr>
        <w:pStyle w:val="2"/>
        <w:spacing w:before="71"/>
        <w:ind w:left="0" w:right="889"/>
        <w:rPr>
          <w:spacing w:val="-10"/>
          <w:w w:val="115"/>
        </w:rPr>
      </w:pPr>
    </w:p>
    <w:p w14:paraId="4C70AFDF">
      <w:pPr>
        <w:pStyle w:val="2"/>
        <w:spacing w:before="71"/>
        <w:ind w:left="0" w:right="889"/>
        <w:rPr>
          <w:spacing w:val="-10"/>
          <w:w w:val="115"/>
        </w:rPr>
      </w:pPr>
    </w:p>
    <w:p w14:paraId="4FA2EF9E">
      <w:pPr>
        <w:pStyle w:val="2"/>
        <w:spacing w:before="71"/>
        <w:ind w:left="0" w:right="889"/>
        <w:rPr>
          <w:spacing w:val="-10"/>
          <w:w w:val="115"/>
        </w:rPr>
      </w:pPr>
    </w:p>
    <w:p w14:paraId="1BF0BCC2">
      <w:pPr>
        <w:pStyle w:val="2"/>
        <w:spacing w:before="71"/>
        <w:ind w:left="0" w:right="889"/>
        <w:rPr>
          <w:spacing w:val="-10"/>
          <w:w w:val="115"/>
        </w:rPr>
      </w:pPr>
    </w:p>
    <w:p w14:paraId="3F354CFB">
      <w:pPr>
        <w:pStyle w:val="2"/>
        <w:spacing w:before="71"/>
        <w:ind w:left="0" w:right="889"/>
        <w:rPr>
          <w:spacing w:val="-10"/>
          <w:w w:val="115"/>
        </w:rPr>
      </w:pPr>
    </w:p>
    <w:p w14:paraId="09265E61">
      <w:pPr>
        <w:pStyle w:val="2"/>
        <w:spacing w:before="71"/>
        <w:ind w:left="0" w:right="889"/>
        <w:rPr>
          <w:spacing w:val="-10"/>
          <w:w w:val="115"/>
        </w:rPr>
      </w:pPr>
    </w:p>
    <w:p w14:paraId="6FC0F058">
      <w:pPr>
        <w:pStyle w:val="2"/>
        <w:spacing w:before="71"/>
        <w:ind w:left="0" w:right="889"/>
        <w:rPr>
          <w:spacing w:val="-10"/>
          <w:w w:val="115"/>
        </w:rPr>
      </w:pPr>
    </w:p>
    <w:p w14:paraId="7E851095">
      <w:pPr>
        <w:pStyle w:val="2"/>
        <w:spacing w:before="71"/>
        <w:ind w:left="0" w:right="889"/>
        <w:rPr>
          <w:spacing w:val="-10"/>
          <w:w w:val="115"/>
        </w:rPr>
      </w:pPr>
    </w:p>
    <w:p w14:paraId="77EA43B8">
      <w:pPr>
        <w:pStyle w:val="2"/>
        <w:spacing w:before="71"/>
        <w:ind w:left="0" w:right="889"/>
        <w:rPr>
          <w:spacing w:val="-10"/>
          <w:w w:val="115"/>
        </w:rPr>
      </w:pPr>
    </w:p>
    <w:p w14:paraId="7C707E08">
      <w:pPr>
        <w:pStyle w:val="2"/>
        <w:spacing w:before="71"/>
        <w:ind w:left="0" w:right="889"/>
        <w:rPr>
          <w:spacing w:val="-10"/>
          <w:w w:val="115"/>
        </w:rPr>
      </w:pPr>
    </w:p>
    <w:p w14:paraId="6F913344">
      <w:pPr>
        <w:pStyle w:val="2"/>
        <w:spacing w:before="71"/>
        <w:ind w:left="0" w:right="889"/>
        <w:rPr>
          <w:spacing w:val="-10"/>
          <w:w w:val="115"/>
        </w:rPr>
      </w:pPr>
    </w:p>
    <w:p w14:paraId="3212A8C5">
      <w:pPr>
        <w:pStyle w:val="2"/>
        <w:spacing w:before="71"/>
        <w:ind w:left="0" w:right="889"/>
        <w:rPr>
          <w:spacing w:val="-10"/>
          <w:w w:val="115"/>
        </w:rPr>
      </w:pPr>
    </w:p>
    <w:p w14:paraId="351D998B">
      <w:pPr>
        <w:pStyle w:val="2"/>
        <w:spacing w:before="71"/>
        <w:ind w:left="0" w:right="889"/>
        <w:rPr>
          <w:spacing w:val="-10"/>
          <w:w w:val="115"/>
        </w:rPr>
      </w:pPr>
    </w:p>
    <w:p w14:paraId="21A46858">
      <w:pPr>
        <w:pStyle w:val="2"/>
        <w:spacing w:before="71"/>
        <w:ind w:left="0" w:right="889"/>
        <w:rPr>
          <w:spacing w:val="-10"/>
          <w:w w:val="115"/>
        </w:rPr>
      </w:pPr>
    </w:p>
    <w:p w14:paraId="23265B39">
      <w:pPr>
        <w:pStyle w:val="2"/>
        <w:spacing w:before="71"/>
        <w:ind w:left="0" w:right="889"/>
        <w:rPr>
          <w:spacing w:val="-10"/>
          <w:w w:val="115"/>
        </w:rPr>
      </w:pPr>
    </w:p>
    <w:p w14:paraId="28B37C53">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78/</w:t>
      </w:r>
      <w:r>
        <w:rPr>
          <w:b/>
          <w:bCs/>
        </w:rPr>
        <w:t xml:space="preserve">2025 PROCESSO ADM N° </w:t>
      </w:r>
      <w:r>
        <w:rPr>
          <w:rFonts w:hint="default"/>
          <w:b/>
          <w:bCs/>
          <w:lang w:val="pt-BR"/>
        </w:rPr>
        <w:t>207/</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696DD9B">
      <w:pPr>
        <w:spacing w:line="360" w:lineRule="auto"/>
        <w:ind w:left="-567" w:right="-708" w:firstLine="709"/>
        <w:jc w:val="center"/>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5"/>
        <w:tblpPr w:leftFromText="180" w:rightFromText="180" w:vertAnchor="text" w:horzAnchor="page" w:tblpX="204" w:tblpY="768"/>
        <w:tblOverlap w:val="never"/>
        <w:tblW w:w="11724" w:type="dxa"/>
        <w:tblInd w:w="0" w:type="dxa"/>
        <w:tblLayout w:type="fixed"/>
        <w:tblCellMar>
          <w:top w:w="0" w:type="dxa"/>
          <w:left w:w="70" w:type="dxa"/>
          <w:bottom w:w="0" w:type="dxa"/>
          <w:right w:w="70" w:type="dxa"/>
        </w:tblCellMar>
      </w:tblPr>
      <w:tblGrid>
        <w:gridCol w:w="851"/>
        <w:gridCol w:w="852"/>
        <w:gridCol w:w="852"/>
        <w:gridCol w:w="6358"/>
        <w:gridCol w:w="1328"/>
        <w:gridCol w:w="1483"/>
      </w:tblGrid>
      <w:tr w14:paraId="63C9B2AF">
        <w:tblPrEx>
          <w:tblCellMar>
            <w:top w:w="0" w:type="dxa"/>
            <w:left w:w="70" w:type="dxa"/>
            <w:bottom w:w="0" w:type="dxa"/>
            <w:right w:w="70" w:type="dxa"/>
          </w:tblCellMar>
        </w:tblPrEx>
        <w:trPr>
          <w:trHeight w:val="384"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35B5ED">
            <w:pPr>
              <w:suppressAutoHyphens w:val="0"/>
              <w:rPr>
                <w:rFonts w:ascii="Aptos Narrow" w:hAnsi="Aptos Narrow"/>
                <w:color w:val="000000"/>
                <w:sz w:val="22"/>
                <w:szCs w:val="22"/>
                <w:lang w:eastAsia="pt-BR"/>
              </w:rPr>
            </w:pPr>
            <w:r>
              <w:rPr>
                <w:rFonts w:hint="default" w:ascii="Aptos Narrow" w:hAnsi="Aptos Narrow"/>
                <w:color w:val="000000"/>
                <w:sz w:val="22"/>
                <w:szCs w:val="22"/>
                <w:lang w:val="en-US" w:eastAsia="pt-BR"/>
              </w:rPr>
              <w:t>I</w:t>
            </w:r>
            <w:r>
              <w:rPr>
                <w:rFonts w:ascii="Aptos Narrow" w:hAnsi="Aptos Narrow"/>
                <w:color w:val="000000"/>
                <w:sz w:val="22"/>
                <w:szCs w:val="22"/>
                <w:lang w:eastAsia="pt-BR"/>
              </w:rPr>
              <w:t>tem</w:t>
            </w:r>
          </w:p>
        </w:tc>
        <w:tc>
          <w:tcPr>
            <w:tcW w:w="852" w:type="dxa"/>
            <w:tcBorders>
              <w:top w:val="single" w:color="auto" w:sz="4" w:space="0"/>
              <w:left w:val="nil"/>
              <w:bottom w:val="single" w:color="auto" w:sz="4" w:space="0"/>
              <w:right w:val="single" w:color="auto" w:sz="4" w:space="0"/>
            </w:tcBorders>
            <w:shd w:val="clear" w:color="auto" w:fill="auto"/>
            <w:noWrap/>
            <w:vAlign w:val="bottom"/>
          </w:tcPr>
          <w:p w14:paraId="3BC7FDC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single" w:color="auto" w:sz="4" w:space="0"/>
              <w:left w:val="nil"/>
              <w:bottom w:val="single" w:color="auto" w:sz="4" w:space="0"/>
              <w:right w:val="single" w:color="auto" w:sz="4" w:space="0"/>
            </w:tcBorders>
            <w:shd w:val="clear" w:color="auto" w:fill="auto"/>
            <w:noWrap w:val="0"/>
            <w:vAlign w:val="center"/>
          </w:tcPr>
          <w:p w14:paraId="1EEC95B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Quant.</w:t>
            </w:r>
          </w:p>
        </w:tc>
        <w:tc>
          <w:tcPr>
            <w:tcW w:w="6358" w:type="dxa"/>
            <w:tcBorders>
              <w:top w:val="single" w:color="auto" w:sz="4" w:space="0"/>
              <w:left w:val="nil"/>
              <w:bottom w:val="single" w:color="auto" w:sz="4" w:space="0"/>
              <w:right w:val="single" w:color="auto" w:sz="4" w:space="0"/>
            </w:tcBorders>
            <w:shd w:val="clear" w:color="auto" w:fill="auto"/>
            <w:noWrap w:val="0"/>
            <w:vAlign w:val="center"/>
          </w:tcPr>
          <w:p w14:paraId="0832BBE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Material</w:t>
            </w:r>
          </w:p>
        </w:tc>
        <w:tc>
          <w:tcPr>
            <w:tcW w:w="1328" w:type="dxa"/>
            <w:tcBorders>
              <w:top w:val="single" w:color="auto" w:sz="4" w:space="0"/>
              <w:left w:val="nil"/>
              <w:bottom w:val="single" w:color="auto" w:sz="4" w:space="0"/>
              <w:right w:val="single" w:color="auto" w:sz="4" w:space="0"/>
            </w:tcBorders>
            <w:shd w:val="clear" w:color="auto" w:fill="auto"/>
            <w:noWrap w:val="0"/>
            <w:vAlign w:val="center"/>
          </w:tcPr>
          <w:p w14:paraId="0D142A1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valor unitário</w:t>
            </w:r>
          </w:p>
        </w:tc>
        <w:tc>
          <w:tcPr>
            <w:tcW w:w="1483" w:type="dxa"/>
            <w:tcBorders>
              <w:top w:val="single" w:color="auto" w:sz="4" w:space="0"/>
              <w:left w:val="nil"/>
              <w:bottom w:val="single" w:color="auto" w:sz="4" w:space="0"/>
              <w:right w:val="single" w:color="auto" w:sz="4" w:space="0"/>
            </w:tcBorders>
            <w:shd w:val="clear" w:color="auto" w:fill="auto"/>
            <w:noWrap w:val="0"/>
            <w:vAlign w:val="center"/>
          </w:tcPr>
          <w:p w14:paraId="36E67A2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valor total</w:t>
            </w:r>
          </w:p>
        </w:tc>
      </w:tr>
      <w:tr w14:paraId="628C80DF">
        <w:tblPrEx>
          <w:tblCellMar>
            <w:top w:w="0" w:type="dxa"/>
            <w:left w:w="70" w:type="dxa"/>
            <w:bottom w:w="0" w:type="dxa"/>
            <w:right w:w="70"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706FEA43">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852" w:type="dxa"/>
            <w:tcBorders>
              <w:top w:val="nil"/>
              <w:left w:val="nil"/>
              <w:bottom w:val="single" w:color="auto" w:sz="4" w:space="0"/>
              <w:right w:val="single" w:color="auto" w:sz="4" w:space="0"/>
            </w:tcBorders>
            <w:shd w:val="clear" w:color="auto" w:fill="auto"/>
            <w:noWrap/>
            <w:vAlign w:val="bottom"/>
          </w:tcPr>
          <w:p w14:paraId="3CADF94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w:t>
            </w:r>
          </w:p>
        </w:tc>
        <w:tc>
          <w:tcPr>
            <w:tcW w:w="852" w:type="dxa"/>
            <w:tcBorders>
              <w:top w:val="nil"/>
              <w:left w:val="nil"/>
              <w:bottom w:val="single" w:color="auto" w:sz="4" w:space="0"/>
              <w:right w:val="single" w:color="auto" w:sz="4" w:space="0"/>
            </w:tcBorders>
            <w:shd w:val="clear" w:color="auto" w:fill="auto"/>
            <w:noWrap w:val="0"/>
            <w:vAlign w:val="center"/>
          </w:tcPr>
          <w:p w14:paraId="38C97300">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22C0ADA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ABFW + Fichário (Teste Completo)</w:t>
            </w:r>
          </w:p>
        </w:tc>
        <w:tc>
          <w:tcPr>
            <w:tcW w:w="1328" w:type="dxa"/>
            <w:tcBorders>
              <w:top w:val="nil"/>
              <w:left w:val="nil"/>
              <w:bottom w:val="single" w:color="auto" w:sz="4" w:space="0"/>
              <w:right w:val="single" w:color="auto" w:sz="4" w:space="0"/>
            </w:tcBorders>
            <w:shd w:val="clear" w:color="auto" w:fill="auto"/>
            <w:noWrap/>
            <w:vAlign w:val="bottom"/>
          </w:tcPr>
          <w:p w14:paraId="7304DE5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1089D25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073276DE">
        <w:tblPrEx>
          <w:tblCellMar>
            <w:top w:w="0" w:type="dxa"/>
            <w:left w:w="70" w:type="dxa"/>
            <w:bottom w:w="0" w:type="dxa"/>
            <w:right w:w="70" w:type="dxa"/>
          </w:tblCellMar>
        </w:tblPrEx>
        <w:trPr>
          <w:trHeight w:val="940"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17B3E843">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2</w:t>
            </w:r>
          </w:p>
        </w:tc>
        <w:tc>
          <w:tcPr>
            <w:tcW w:w="852" w:type="dxa"/>
            <w:tcBorders>
              <w:top w:val="nil"/>
              <w:left w:val="nil"/>
              <w:bottom w:val="single" w:color="auto" w:sz="4" w:space="0"/>
              <w:right w:val="single" w:color="auto" w:sz="4" w:space="0"/>
            </w:tcBorders>
            <w:shd w:val="clear" w:color="auto" w:fill="auto"/>
            <w:noWrap/>
            <w:vAlign w:val="bottom"/>
          </w:tcPr>
          <w:p w14:paraId="00B7812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w:t>
            </w:r>
          </w:p>
        </w:tc>
        <w:tc>
          <w:tcPr>
            <w:tcW w:w="852" w:type="dxa"/>
            <w:tcBorders>
              <w:top w:val="nil"/>
              <w:left w:val="nil"/>
              <w:bottom w:val="single" w:color="auto" w:sz="4" w:space="0"/>
              <w:right w:val="single" w:color="auto" w:sz="4" w:space="0"/>
            </w:tcBorders>
            <w:shd w:val="clear" w:color="auto" w:fill="auto"/>
            <w:noWrap w:val="0"/>
            <w:vAlign w:val="center"/>
          </w:tcPr>
          <w:p w14:paraId="7B8D0493">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6B0F56FF">
            <w:pPr>
              <w:suppressAutoHyphens w:val="0"/>
              <w:rPr>
                <w:rFonts w:ascii="Arial" w:hAnsi="Arial" w:cs="Arial"/>
                <w:color w:val="000000"/>
                <w:lang w:eastAsia="pt-BR"/>
              </w:rPr>
            </w:pPr>
            <w:r>
              <w:rPr>
                <w:rFonts w:ascii="Arial" w:hAnsi="Arial" w:cs="Arial"/>
                <w:color w:val="000000"/>
                <w:lang w:eastAsia="pt-BR"/>
              </w:rPr>
              <w:t>ADL 2 - Avaliação do Desenvolvimento da Linguagem</w:t>
            </w:r>
          </w:p>
        </w:tc>
        <w:tc>
          <w:tcPr>
            <w:tcW w:w="1328" w:type="dxa"/>
            <w:tcBorders>
              <w:top w:val="nil"/>
              <w:left w:val="nil"/>
              <w:bottom w:val="single" w:color="auto" w:sz="4" w:space="0"/>
              <w:right w:val="single" w:color="auto" w:sz="4" w:space="0"/>
            </w:tcBorders>
            <w:shd w:val="clear" w:color="auto" w:fill="auto"/>
            <w:noWrap/>
            <w:vAlign w:val="bottom"/>
          </w:tcPr>
          <w:p w14:paraId="4DA694B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5F528D9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265D92E0">
        <w:tblPrEx>
          <w:tblCellMar>
            <w:top w:w="0" w:type="dxa"/>
            <w:left w:w="70" w:type="dxa"/>
            <w:bottom w:w="0" w:type="dxa"/>
            <w:right w:w="70" w:type="dxa"/>
          </w:tblCellMar>
        </w:tblPrEx>
        <w:trPr>
          <w:trHeight w:val="388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12A8B56E">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3</w:t>
            </w:r>
          </w:p>
        </w:tc>
        <w:tc>
          <w:tcPr>
            <w:tcW w:w="852" w:type="dxa"/>
            <w:tcBorders>
              <w:top w:val="nil"/>
              <w:left w:val="nil"/>
              <w:bottom w:val="single" w:color="auto" w:sz="4" w:space="0"/>
              <w:right w:val="single" w:color="auto" w:sz="4" w:space="0"/>
            </w:tcBorders>
            <w:shd w:val="clear" w:color="auto" w:fill="auto"/>
            <w:noWrap/>
            <w:vAlign w:val="bottom"/>
          </w:tcPr>
          <w:p w14:paraId="382B5C5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6802A268">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6358" w:type="dxa"/>
            <w:tcBorders>
              <w:top w:val="nil"/>
              <w:left w:val="nil"/>
              <w:bottom w:val="single" w:color="auto" w:sz="4" w:space="0"/>
              <w:right w:val="single" w:color="auto" w:sz="4" w:space="0"/>
            </w:tcBorders>
            <w:shd w:val="clear" w:color="auto" w:fill="auto"/>
            <w:noWrap w:val="0"/>
            <w:vAlign w:val="center"/>
          </w:tcPr>
          <w:p w14:paraId="2D38561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AMBU COM VALVULA DE PEEP, Reanimador pulmonar ressuscitador manual; construído em PVC de alta qualidade, o reanimador manual durável, resistente e fácil de limpar. Projetado para fornecer ventilação eficaz e segura durante situações de emergência. Kit inc - AMBU COM VALVULA DE PEEP, Reanimador pulmonar ressuscitador manual; construído em PVC de alta qualidade, o reanimador manual durável, resistente e fácil de limpar. Projetado para fornecer ventilação eficaz e segura durante situações de emergência. Kit inclui um adaptador e uma válvula PEEP para fornecer pressão positiva ao final da expiração. Características: Matéria Prima: A máscara feita de PVC, a válvula do paciente feita de policarbonato, a válvula limitadora de pressão (pop off) feita de policarbonato e silicone, a válvula interna feita de policarbonato, a bolsa de reserva de oxigênio feita de EVA e polipropileno, o tubo de oxigênio feito de PVC.</w:t>
            </w:r>
          </w:p>
        </w:tc>
        <w:tc>
          <w:tcPr>
            <w:tcW w:w="1328" w:type="dxa"/>
            <w:tcBorders>
              <w:top w:val="nil"/>
              <w:left w:val="nil"/>
              <w:bottom w:val="single" w:color="auto" w:sz="4" w:space="0"/>
              <w:right w:val="single" w:color="auto" w:sz="4" w:space="0"/>
            </w:tcBorders>
            <w:shd w:val="clear" w:color="auto" w:fill="auto"/>
            <w:noWrap/>
            <w:vAlign w:val="bottom"/>
          </w:tcPr>
          <w:p w14:paraId="2EF3C75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4F44639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664492A8">
        <w:tblPrEx>
          <w:tblCellMar>
            <w:top w:w="0" w:type="dxa"/>
            <w:left w:w="70" w:type="dxa"/>
            <w:bottom w:w="0" w:type="dxa"/>
            <w:right w:w="70" w:type="dxa"/>
          </w:tblCellMar>
        </w:tblPrEx>
        <w:trPr>
          <w:trHeight w:val="118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5888F0C9">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4</w:t>
            </w:r>
          </w:p>
        </w:tc>
        <w:tc>
          <w:tcPr>
            <w:tcW w:w="852" w:type="dxa"/>
            <w:tcBorders>
              <w:top w:val="nil"/>
              <w:left w:val="nil"/>
              <w:bottom w:val="single" w:color="auto" w:sz="4" w:space="0"/>
              <w:right w:val="single" w:color="auto" w:sz="4" w:space="0"/>
            </w:tcBorders>
            <w:shd w:val="clear" w:color="auto" w:fill="auto"/>
            <w:noWrap/>
            <w:vAlign w:val="bottom"/>
          </w:tcPr>
          <w:p w14:paraId="0DED01F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6DB8079D">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3AA7F4A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ESPELHO DE MESA GRANDE, COM LENTE DE AUMENTO DUR A,FACE, MEDINDO 34 X 18,5 CM CROMADO, ESPELHO 7 POLEGADAS REDONDO - ESPELHO DE MESA GRANDE COM LENTE DE AUMENTO DUPLA-FACE, MEDINDO 34 X 18,5 CM CROMADO, ESPELHO 7 POLEGADAS REDONDO.</w:t>
            </w:r>
          </w:p>
        </w:tc>
        <w:tc>
          <w:tcPr>
            <w:tcW w:w="1328" w:type="dxa"/>
            <w:tcBorders>
              <w:top w:val="nil"/>
              <w:left w:val="nil"/>
              <w:bottom w:val="single" w:color="auto" w:sz="4" w:space="0"/>
              <w:right w:val="single" w:color="auto" w:sz="4" w:space="0"/>
            </w:tcBorders>
            <w:shd w:val="clear" w:color="auto" w:fill="auto"/>
            <w:noWrap/>
            <w:vAlign w:val="bottom"/>
          </w:tcPr>
          <w:p w14:paraId="2187851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71403B9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7C784862">
        <w:tblPrEx>
          <w:tblCellMar>
            <w:top w:w="0" w:type="dxa"/>
            <w:left w:w="70" w:type="dxa"/>
            <w:bottom w:w="0" w:type="dxa"/>
            <w:right w:w="70" w:type="dxa"/>
          </w:tblCellMar>
        </w:tblPrEx>
        <w:trPr>
          <w:trHeight w:val="73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21F1971F">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5</w:t>
            </w:r>
          </w:p>
        </w:tc>
        <w:tc>
          <w:tcPr>
            <w:tcW w:w="852" w:type="dxa"/>
            <w:tcBorders>
              <w:top w:val="nil"/>
              <w:left w:val="nil"/>
              <w:bottom w:val="single" w:color="auto" w:sz="4" w:space="0"/>
              <w:right w:val="single" w:color="auto" w:sz="4" w:space="0"/>
            </w:tcBorders>
            <w:shd w:val="clear" w:color="auto" w:fill="auto"/>
            <w:noWrap/>
            <w:vAlign w:val="bottom"/>
          </w:tcPr>
          <w:p w14:paraId="01F37632">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06B79AA9">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6358" w:type="dxa"/>
            <w:tcBorders>
              <w:top w:val="nil"/>
              <w:left w:val="nil"/>
              <w:bottom w:val="single" w:color="auto" w:sz="4" w:space="0"/>
              <w:right w:val="single" w:color="auto" w:sz="4" w:space="0"/>
            </w:tcBorders>
            <w:shd w:val="clear" w:color="auto" w:fill="auto"/>
            <w:noWrap w:val="0"/>
            <w:vAlign w:val="center"/>
          </w:tcPr>
          <w:p w14:paraId="7059D7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Genérico Cordão Autismo Quebra Cabeça + Porta Crachá Clip + Porta Bilhete Único Abre E Fecha Autista</w:t>
            </w:r>
          </w:p>
        </w:tc>
        <w:tc>
          <w:tcPr>
            <w:tcW w:w="1328" w:type="dxa"/>
            <w:tcBorders>
              <w:top w:val="nil"/>
              <w:left w:val="nil"/>
              <w:bottom w:val="single" w:color="auto" w:sz="4" w:space="0"/>
              <w:right w:val="single" w:color="auto" w:sz="4" w:space="0"/>
            </w:tcBorders>
            <w:shd w:val="clear" w:color="auto" w:fill="auto"/>
            <w:noWrap/>
            <w:vAlign w:val="bottom"/>
          </w:tcPr>
          <w:p w14:paraId="14989F7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51813FE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392EE9D2">
        <w:tblPrEx>
          <w:tblCellMar>
            <w:top w:w="0" w:type="dxa"/>
            <w:left w:w="70" w:type="dxa"/>
            <w:bottom w:w="0" w:type="dxa"/>
            <w:right w:w="70" w:type="dxa"/>
          </w:tblCellMar>
        </w:tblPrEx>
        <w:trPr>
          <w:trHeight w:val="73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09AC6D66">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w:t>
            </w:r>
          </w:p>
        </w:tc>
        <w:tc>
          <w:tcPr>
            <w:tcW w:w="852" w:type="dxa"/>
            <w:tcBorders>
              <w:top w:val="nil"/>
              <w:left w:val="nil"/>
              <w:bottom w:val="single" w:color="auto" w:sz="4" w:space="0"/>
              <w:right w:val="single" w:color="auto" w:sz="4" w:space="0"/>
            </w:tcBorders>
            <w:shd w:val="clear" w:color="auto" w:fill="auto"/>
            <w:noWrap/>
            <w:vAlign w:val="bottom"/>
          </w:tcPr>
          <w:p w14:paraId="296279C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61E4DA90">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5883ED5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PCL-R Protocolo Cognitivo-Linguístico</w:t>
            </w:r>
          </w:p>
        </w:tc>
        <w:tc>
          <w:tcPr>
            <w:tcW w:w="1328" w:type="dxa"/>
            <w:tcBorders>
              <w:top w:val="nil"/>
              <w:left w:val="nil"/>
              <w:bottom w:val="single" w:color="auto" w:sz="4" w:space="0"/>
              <w:right w:val="single" w:color="auto" w:sz="4" w:space="0"/>
            </w:tcBorders>
            <w:shd w:val="clear" w:color="auto" w:fill="auto"/>
            <w:noWrap/>
            <w:vAlign w:val="bottom"/>
          </w:tcPr>
          <w:p w14:paraId="3726999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1192819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4FE3B1C0">
        <w:tblPrEx>
          <w:tblCellMar>
            <w:top w:w="0" w:type="dxa"/>
            <w:left w:w="70" w:type="dxa"/>
            <w:bottom w:w="0" w:type="dxa"/>
            <w:right w:w="70" w:type="dxa"/>
          </w:tblCellMar>
        </w:tblPrEx>
        <w:trPr>
          <w:trHeight w:val="4901"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78C9837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7</w:t>
            </w:r>
          </w:p>
        </w:tc>
        <w:tc>
          <w:tcPr>
            <w:tcW w:w="852" w:type="dxa"/>
            <w:tcBorders>
              <w:top w:val="nil"/>
              <w:left w:val="nil"/>
              <w:bottom w:val="single" w:color="auto" w:sz="4" w:space="0"/>
              <w:right w:val="single" w:color="auto" w:sz="4" w:space="0"/>
            </w:tcBorders>
            <w:shd w:val="clear" w:color="auto" w:fill="auto"/>
            <w:noWrap/>
            <w:vAlign w:val="bottom"/>
          </w:tcPr>
          <w:p w14:paraId="0DE1608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69E12A0F">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2DFD87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PROC - PROTOCOLO DE OBSERVAÇÃO COMPORTAMENTAL: PROC - PROTOCOLO DE OBSERVAÇÃO COMPORTAMENTAL: Avaliação de Linguagem Crianças pequenas não falam e não compreendem a linguagem como os adultos, ou mesmo como as crianças mais velhas. Por estarem em processo - PROC - PROTOCOLO DE OBSERVAÇÃO COMPORTAMENTAL: PROC - PROTOCOLO DE OBSERVAÇÃO COMPORTAMENTAL: Avaliação de Linguagem Crianças pequenas não falam e não compreendem a linguagem como os adultos, ou mesmo como as crianças mais velhas. Por estarem em processo de desenvolvimento, sua linguagem apresenta uma série de características peculiares que podem , muitas vezes, ser interpretadas como alteração. Embora existam diversos procedimentos para avaliação de crianças pequenas em âmbito mundial, não há como negar que existem poucos recursos clínicos à disposição dos fonoaudiólogos brasileiros, especialmente tratando-se de crianças até 4 anos (48 meses). Neste sentido, estamos apresentando um Protocolo de Observação Comportamental (PROC) para a avaliação do desenvolvimento comunicativo e cognitivo infantil.</w:t>
            </w:r>
          </w:p>
        </w:tc>
        <w:tc>
          <w:tcPr>
            <w:tcW w:w="1328" w:type="dxa"/>
            <w:tcBorders>
              <w:top w:val="nil"/>
              <w:left w:val="nil"/>
              <w:bottom w:val="single" w:color="auto" w:sz="4" w:space="0"/>
              <w:right w:val="single" w:color="auto" w:sz="4" w:space="0"/>
            </w:tcBorders>
            <w:shd w:val="clear" w:color="auto" w:fill="auto"/>
            <w:noWrap/>
            <w:vAlign w:val="bottom"/>
          </w:tcPr>
          <w:p w14:paraId="4A8DDBE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7624457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59701B41">
        <w:tblPrEx>
          <w:tblCellMar>
            <w:top w:w="0" w:type="dxa"/>
            <w:left w:w="70" w:type="dxa"/>
            <w:bottom w:w="0" w:type="dxa"/>
            <w:right w:w="70" w:type="dxa"/>
          </w:tblCellMar>
        </w:tblPrEx>
        <w:trPr>
          <w:trHeight w:val="738" w:hRule="atLeast"/>
        </w:trPr>
        <w:tc>
          <w:tcPr>
            <w:tcW w:w="851" w:type="dxa"/>
            <w:tcBorders>
              <w:top w:val="nil"/>
              <w:left w:val="single" w:color="auto" w:sz="4" w:space="0"/>
              <w:bottom w:val="single" w:color="auto" w:sz="4" w:space="0"/>
              <w:right w:val="single" w:color="auto" w:sz="4" w:space="0"/>
            </w:tcBorders>
            <w:shd w:val="clear" w:color="auto" w:fill="auto"/>
            <w:noWrap/>
            <w:vAlign w:val="bottom"/>
          </w:tcPr>
          <w:p w14:paraId="5396581A">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8</w:t>
            </w:r>
          </w:p>
        </w:tc>
        <w:tc>
          <w:tcPr>
            <w:tcW w:w="852" w:type="dxa"/>
            <w:tcBorders>
              <w:top w:val="nil"/>
              <w:left w:val="nil"/>
              <w:bottom w:val="single" w:color="auto" w:sz="4" w:space="0"/>
              <w:right w:val="single" w:color="auto" w:sz="4" w:space="0"/>
            </w:tcBorders>
            <w:shd w:val="clear" w:color="auto" w:fill="auto"/>
            <w:noWrap/>
            <w:vAlign w:val="bottom"/>
          </w:tcPr>
          <w:p w14:paraId="77DF816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52" w:type="dxa"/>
            <w:tcBorders>
              <w:top w:val="nil"/>
              <w:left w:val="nil"/>
              <w:bottom w:val="single" w:color="auto" w:sz="4" w:space="0"/>
              <w:right w:val="single" w:color="auto" w:sz="4" w:space="0"/>
            </w:tcBorders>
            <w:shd w:val="clear" w:color="auto" w:fill="auto"/>
            <w:noWrap w:val="0"/>
            <w:vAlign w:val="center"/>
          </w:tcPr>
          <w:p w14:paraId="49B8105B">
            <w:pPr>
              <w:suppressAutoHyphens w:val="0"/>
              <w:jc w:val="right"/>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6358" w:type="dxa"/>
            <w:tcBorders>
              <w:top w:val="nil"/>
              <w:left w:val="nil"/>
              <w:bottom w:val="single" w:color="auto" w:sz="4" w:space="0"/>
              <w:right w:val="single" w:color="auto" w:sz="4" w:space="0"/>
            </w:tcBorders>
            <w:shd w:val="clear" w:color="auto" w:fill="auto"/>
            <w:noWrap w:val="0"/>
            <w:vAlign w:val="center"/>
          </w:tcPr>
          <w:p w14:paraId="1654966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Teste de Reabilitação das Afasias - Rio de Janeiro Terceira Edição</w:t>
            </w:r>
          </w:p>
        </w:tc>
        <w:tc>
          <w:tcPr>
            <w:tcW w:w="1328" w:type="dxa"/>
            <w:tcBorders>
              <w:top w:val="nil"/>
              <w:left w:val="nil"/>
              <w:bottom w:val="single" w:color="auto" w:sz="4" w:space="0"/>
              <w:right w:val="single" w:color="auto" w:sz="4" w:space="0"/>
            </w:tcBorders>
            <w:shd w:val="clear" w:color="auto" w:fill="auto"/>
            <w:noWrap/>
            <w:vAlign w:val="bottom"/>
          </w:tcPr>
          <w:p w14:paraId="23F6D8B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483" w:type="dxa"/>
            <w:tcBorders>
              <w:top w:val="nil"/>
              <w:left w:val="nil"/>
              <w:bottom w:val="single" w:color="auto" w:sz="4" w:space="0"/>
              <w:right w:val="single" w:color="auto" w:sz="4" w:space="0"/>
            </w:tcBorders>
            <w:shd w:val="clear" w:color="auto" w:fill="auto"/>
            <w:noWrap/>
            <w:vAlign w:val="bottom"/>
          </w:tcPr>
          <w:p w14:paraId="6063DB6B">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450B8C21">
        <w:tblPrEx>
          <w:tblCellMar>
            <w:top w:w="0" w:type="dxa"/>
            <w:left w:w="70" w:type="dxa"/>
            <w:bottom w:w="0" w:type="dxa"/>
            <w:right w:w="70" w:type="dxa"/>
          </w:tblCellMar>
        </w:tblPrEx>
        <w:trPr>
          <w:trHeight w:val="744" w:hRule="atLeast"/>
        </w:trPr>
        <w:tc>
          <w:tcPr>
            <w:tcW w:w="851" w:type="dxa"/>
            <w:tcBorders>
              <w:top w:val="nil"/>
              <w:left w:val="nil"/>
              <w:bottom w:val="nil"/>
              <w:right w:val="nil"/>
            </w:tcBorders>
            <w:shd w:val="clear" w:color="auto" w:fill="auto"/>
            <w:noWrap/>
            <w:vAlign w:val="bottom"/>
          </w:tcPr>
          <w:p w14:paraId="1EE48C08">
            <w:pPr>
              <w:suppressAutoHyphens w:val="0"/>
              <w:rPr>
                <w:rFonts w:ascii="Aptos Narrow" w:hAnsi="Aptos Narrow"/>
                <w:color w:val="000000"/>
                <w:sz w:val="22"/>
                <w:szCs w:val="22"/>
                <w:lang w:eastAsia="pt-BR"/>
              </w:rPr>
            </w:pPr>
          </w:p>
        </w:tc>
        <w:tc>
          <w:tcPr>
            <w:tcW w:w="852" w:type="dxa"/>
            <w:tcBorders>
              <w:top w:val="nil"/>
              <w:left w:val="nil"/>
              <w:bottom w:val="nil"/>
              <w:right w:val="nil"/>
            </w:tcBorders>
            <w:shd w:val="clear" w:color="auto" w:fill="auto"/>
            <w:noWrap/>
            <w:vAlign w:val="bottom"/>
          </w:tcPr>
          <w:p w14:paraId="5272416D">
            <w:pPr>
              <w:suppressAutoHyphens w:val="0"/>
              <w:rPr>
                <w:lang w:eastAsia="pt-BR"/>
              </w:rPr>
            </w:pPr>
          </w:p>
        </w:tc>
        <w:tc>
          <w:tcPr>
            <w:tcW w:w="852" w:type="dxa"/>
            <w:tcBorders>
              <w:top w:val="nil"/>
              <w:left w:val="nil"/>
              <w:bottom w:val="nil"/>
              <w:right w:val="nil"/>
            </w:tcBorders>
            <w:shd w:val="clear" w:color="auto" w:fill="auto"/>
            <w:noWrap/>
            <w:vAlign w:val="bottom"/>
          </w:tcPr>
          <w:p w14:paraId="22E558BD">
            <w:pPr>
              <w:suppressAutoHyphens w:val="0"/>
              <w:rPr>
                <w:lang w:eastAsia="pt-BR"/>
              </w:rPr>
            </w:pPr>
          </w:p>
        </w:tc>
        <w:tc>
          <w:tcPr>
            <w:tcW w:w="6358" w:type="dxa"/>
            <w:tcBorders>
              <w:top w:val="nil"/>
              <w:left w:val="nil"/>
              <w:bottom w:val="nil"/>
              <w:right w:val="nil"/>
            </w:tcBorders>
            <w:shd w:val="clear" w:color="auto" w:fill="auto"/>
            <w:noWrap/>
            <w:vAlign w:val="bottom"/>
          </w:tcPr>
          <w:p w14:paraId="09ACE261">
            <w:pPr>
              <w:suppressAutoHyphens w:val="0"/>
              <w:rPr>
                <w:lang w:eastAsia="pt-BR"/>
              </w:rPr>
            </w:pPr>
          </w:p>
        </w:tc>
        <w:tc>
          <w:tcPr>
            <w:tcW w:w="1328" w:type="dxa"/>
            <w:tcBorders>
              <w:top w:val="nil"/>
              <w:left w:val="single" w:color="auto" w:sz="4" w:space="0"/>
              <w:bottom w:val="single" w:color="auto" w:sz="4" w:space="0"/>
              <w:right w:val="single" w:color="auto" w:sz="4" w:space="0"/>
            </w:tcBorders>
            <w:shd w:val="clear" w:color="auto" w:fill="auto"/>
            <w:noWrap/>
            <w:vAlign w:val="bottom"/>
          </w:tcPr>
          <w:p w14:paraId="3C3198F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1483" w:type="dxa"/>
            <w:tcBorders>
              <w:top w:val="nil"/>
              <w:left w:val="nil"/>
              <w:bottom w:val="single" w:color="auto" w:sz="4" w:space="0"/>
              <w:right w:val="single" w:color="auto" w:sz="4" w:space="0"/>
            </w:tcBorders>
            <w:shd w:val="clear" w:color="auto" w:fill="auto"/>
            <w:noWrap/>
            <w:vAlign w:val="bottom"/>
          </w:tcPr>
          <w:p w14:paraId="7ED3A3C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bl>
    <w:p w14:paraId="40D2B53B">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2B469623">
      <w:pPr>
        <w:pStyle w:val="8"/>
        <w:spacing w:before="145"/>
        <w:rPr>
          <w:b/>
          <w:spacing w:val="4"/>
          <w:w w:val="110"/>
          <w:sz w:val="24"/>
        </w:rPr>
      </w:pPr>
      <w:r>
        <w:rPr>
          <w:b/>
          <w:bCs/>
        </w:rPr>
        <w:t>OBJETO :</w:t>
      </w:r>
      <w:r>
        <w:rPr>
          <w:rFonts w:hint="default" w:ascii="Times New Roman" w:hAnsi="Times New Roman" w:eastAsia="Times New Roman" w:cs="Times New Roman"/>
          <w:b/>
          <w:bCs/>
          <w:w w:val="115"/>
          <w:sz w:val="22"/>
          <w:szCs w:val="22"/>
          <w:lang w:val="pt-BR" w:eastAsia="en-US" w:bidi="ar-SA"/>
        </w:rPr>
        <w:t>REFERENTE A AQUISIÇÃO DE MATERIAIS DE FONOAUDIOLOGIA</w:t>
      </w:r>
    </w:p>
    <w:p w14:paraId="136A43A4">
      <w:pPr>
        <w:pStyle w:val="19"/>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3874005">
      <w:pPr>
        <w:pStyle w:val="8"/>
        <w:spacing w:before="3"/>
        <w:jc w:val="both"/>
      </w:pPr>
      <w:bookmarkStart w:id="8" w:name="_GoBack"/>
      <w:bookmarkEnd w:id="8"/>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6"/>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6"/>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ptos Narrow">
    <w:altName w:val="Segoe Print"/>
    <w:panose1 w:val="020B0004020202020204"/>
    <w:charset w:val="00"/>
    <w:family w:val="swiss"/>
    <w:pitch w:val="default"/>
    <w:sig w:usb0="00000000" w:usb1="00000000" w:usb2="00000000" w:usb3="00000000" w:csb0="0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7" w:name="_Hlk162823156"/>
    <w:r>
      <w:rPr>
        <w:b/>
        <w:bCs/>
        <w:sz w:val="18"/>
      </w:rPr>
      <w:t>Rua Barão de Rifaina nº 251 – CEP 14.490-000 – Centro - Rifaina-SP – Tel. (16) 3135 9500</w:t>
    </w:r>
  </w:p>
  <w:bookmarkEnd w:id="7"/>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7"/>
  </w:num>
  <w:num w:numId="3">
    <w:abstractNumId w:val="11"/>
  </w:num>
  <w:num w:numId="4">
    <w:abstractNumId w:val="3"/>
  </w:num>
  <w:num w:numId="5">
    <w:abstractNumId w:val="2"/>
  </w:num>
  <w:num w:numId="6">
    <w:abstractNumId w:val="5"/>
  </w:num>
  <w:num w:numId="7">
    <w:abstractNumId w:val="12"/>
  </w:num>
  <w:num w:numId="8">
    <w:abstractNumId w:val="4"/>
  </w:num>
  <w:num w:numId="9">
    <w:abstractNumId w:val="18"/>
  </w:num>
  <w:num w:numId="10">
    <w:abstractNumId w:val="13"/>
  </w:num>
  <w:num w:numId="11">
    <w:abstractNumId w:val="9"/>
  </w:num>
  <w:num w:numId="12">
    <w:abstractNumId w:val="14"/>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1C835691"/>
    <w:rsid w:val="1E96032B"/>
    <w:rsid w:val="1EA71262"/>
    <w:rsid w:val="233113D1"/>
    <w:rsid w:val="63934150"/>
    <w:rsid w:val="6E465A73"/>
    <w:rsid w:val="6E570254"/>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36</Pages>
  <Words>14422</Words>
  <Characters>77880</Characters>
  <Lines>649</Lines>
  <Paragraphs>184</Paragraphs>
  <TotalTime>5</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2025-05-16T13:22:09Z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C90E1BAD8D56440ABEAF5AAFFA23C9A2_13</vt:lpwstr>
  </property>
</Properties>
</file>