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42</w:t>
      </w:r>
      <w:r>
        <w:rPr>
          <w:b/>
          <w:w w:val="115"/>
          <w:lang w:val="pt-BR"/>
        </w:rPr>
        <w:t>/</w:t>
      </w:r>
      <w:r>
        <w:rPr>
          <w:b/>
          <w:spacing w:val="-2"/>
          <w:w w:val="115"/>
        </w:rPr>
        <w:t>2025 PROCESSO ADM Nº</w:t>
      </w:r>
      <w:r>
        <w:rPr>
          <w:rFonts w:hint="default"/>
          <w:b/>
          <w:spacing w:val="-2"/>
          <w:w w:val="115"/>
          <w:lang w:val="pt-BR"/>
        </w:rPr>
        <w:t>430/</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15/10/</w:t>
      </w:r>
      <w:r>
        <w:rPr>
          <w:b/>
          <w:w w:val="115"/>
        </w:rPr>
        <w:t xml:space="preserve">2025 das </w:t>
      </w:r>
      <w:r>
        <w:rPr>
          <w:rFonts w:hint="default"/>
          <w:b/>
          <w:w w:val="115"/>
          <w:lang w:val="pt-BR"/>
        </w:rPr>
        <w:t>13</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b/>
          <w:bCs/>
          <w:spacing w:val="-7"/>
          <w:w w:val="110"/>
        </w:rPr>
        <w:t xml:space="preserve"> </w:t>
      </w:r>
      <w:r>
        <w:rPr>
          <w:rFonts w:hint="default" w:ascii="Cambria" w:hAnsi="Cambria"/>
          <w:b/>
          <w:bCs/>
          <w:spacing w:val="-7"/>
          <w:w w:val="110"/>
          <w:lang w:val="pt-BR"/>
        </w:rPr>
        <w:t>21</w:t>
      </w:r>
      <w:r>
        <w:rPr>
          <w:rFonts w:hint="default" w:ascii="Cambria" w:hAnsi="Cambria"/>
          <w:b/>
          <w:bCs/>
          <w:i w:val="0"/>
          <w:iCs w:val="0"/>
          <w:spacing w:val="-7"/>
          <w:w w:val="110"/>
          <w:lang w:val="pt-BR"/>
        </w:rPr>
        <w:t>/10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21</w:t>
      </w:r>
      <w:r>
        <w:rPr>
          <w:rFonts w:hint="default"/>
          <w:b/>
          <w:bCs/>
          <w:spacing w:val="32"/>
          <w:w w:val="115"/>
          <w:lang w:val="pt-BR"/>
        </w:rPr>
        <w:t>/10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4E579DB5">
      <w:pPr>
        <w:ind w:left="492"/>
        <w:rPr>
          <w:w w:val="110"/>
        </w:rPr>
      </w:pPr>
      <w:r>
        <w:rPr>
          <w:w w:val="110"/>
        </w:rPr>
        <w:t>02 10 Secretaria Municipal de Cultura</w:t>
      </w:r>
    </w:p>
    <w:p w14:paraId="1249F542">
      <w:pPr>
        <w:ind w:left="492"/>
        <w:rPr>
          <w:w w:val="110"/>
        </w:rPr>
      </w:pPr>
      <w:r>
        <w:rPr>
          <w:w w:val="110"/>
        </w:rPr>
        <w:t xml:space="preserve">           13 392 Difusão Cultural</w:t>
      </w:r>
    </w:p>
    <w:p w14:paraId="3A52A9E9">
      <w:pPr>
        <w:ind w:left="492"/>
        <w:rPr>
          <w:w w:val="110"/>
        </w:rPr>
      </w:pPr>
      <w:r>
        <w:rPr>
          <w:w w:val="110"/>
        </w:rPr>
        <w:t xml:space="preserve">           13 392 0031 Promoção e Acesso a Cultura</w:t>
      </w:r>
    </w:p>
    <w:p w14:paraId="4774290C">
      <w:pPr>
        <w:ind w:left="492"/>
        <w:rPr>
          <w:w w:val="110"/>
        </w:rPr>
      </w:pPr>
      <w:r>
        <w:rPr>
          <w:w w:val="110"/>
        </w:rPr>
        <w:t>13 392 0031 2014 0000 Promoção Cultural</w:t>
      </w:r>
    </w:p>
    <w:p w14:paraId="6E311D02">
      <w:pPr>
        <w:ind w:left="492"/>
        <w:rPr>
          <w:rFonts w:hint="default"/>
          <w:w w:val="110"/>
          <w:lang w:val="pt-BR"/>
        </w:rPr>
      </w:pPr>
      <w:r>
        <w:rPr>
          <w:w w:val="110"/>
        </w:rPr>
        <w:t xml:space="preserve">3.3.90.39.00 </w:t>
      </w:r>
      <w:r>
        <w:rPr>
          <w:rFonts w:hint="default"/>
          <w:w w:val="110"/>
          <w:lang w:val="pt-BR"/>
        </w:rPr>
        <w:t>Material de consumo</w:t>
      </w:r>
    </w:p>
    <w:p w14:paraId="23ADADA0">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w w:val="115"/>
          <w:lang w:val="pt-BR"/>
        </w:rPr>
        <w:t xml:space="preserve">REFERENTE A AQUISIÇÃO DE TECIDOS PARA CONFECÇÃO DE FIGURINOS DO PROJETO DE DANÇA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14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hint="default"/>
          <w:w w:val="115"/>
          <w:lang w:val="pt-BR"/>
        </w:rPr>
        <w:t>REFERENTE A AQUISIÇÃO DE TECIDOS PARA CONFECÇÃO DE FIGURINOS DO PROJETO DE DANÇA</w:t>
      </w:r>
    </w:p>
    <w:p w14:paraId="14D5448C">
      <w:pPr>
        <w:jc w:val="both"/>
        <w:rPr>
          <w:rFonts w:ascii="Arial" w:hAnsi="Arial" w:cs="Arial"/>
          <w:sz w:val="24"/>
          <w:szCs w:val="24"/>
        </w:rPr>
      </w:pPr>
    </w:p>
    <w:p w14:paraId="4849E084">
      <w:pPr>
        <w:jc w:val="both"/>
        <w:rPr>
          <w:rFonts w:ascii="Arial" w:hAnsi="Arial" w:eastAsia="Calibri" w:cs="Arial"/>
          <w:b/>
          <w:bCs/>
          <w:sz w:val="24"/>
          <w:szCs w:val="24"/>
          <w:lang w:val="pt-BR"/>
        </w:rPr>
      </w:pPr>
    </w:p>
    <w:tbl>
      <w:tblPr>
        <w:tblStyle w:val="13"/>
        <w:tblW w:w="7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7"/>
        <w:gridCol w:w="709"/>
        <w:gridCol w:w="567"/>
      </w:tblGrid>
      <w:tr w14:paraId="74F4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612E9E1">
            <w:pPr>
              <w:rPr>
                <w:rFonts w:ascii="Calibri" w:hAnsi="Calibri" w:eastAsia="Calibri"/>
                <w:sz w:val="22"/>
                <w:szCs w:val="22"/>
              </w:rPr>
            </w:pPr>
            <w:r>
              <w:rPr>
                <w:rFonts w:ascii="Calibri" w:hAnsi="Calibri" w:eastAsia="Calibri"/>
                <w:sz w:val="22"/>
                <w:szCs w:val="22"/>
              </w:rPr>
              <w:t>Linha cone -1500mts cor vermelho / verde</w:t>
            </w:r>
          </w:p>
        </w:tc>
        <w:tc>
          <w:tcPr>
            <w:tcW w:w="709" w:type="dxa"/>
          </w:tcPr>
          <w:p w14:paraId="2EA34F74">
            <w:pPr>
              <w:rPr>
                <w:rFonts w:ascii="Calibri" w:hAnsi="Calibri" w:eastAsia="Calibri"/>
                <w:sz w:val="22"/>
                <w:szCs w:val="22"/>
              </w:rPr>
            </w:pPr>
            <w:r>
              <w:rPr>
                <w:rFonts w:ascii="Calibri" w:hAnsi="Calibri" w:eastAsia="Calibri"/>
                <w:sz w:val="22"/>
                <w:szCs w:val="22"/>
              </w:rPr>
              <w:t>UN</w:t>
            </w:r>
          </w:p>
        </w:tc>
        <w:tc>
          <w:tcPr>
            <w:tcW w:w="567" w:type="dxa"/>
          </w:tcPr>
          <w:p w14:paraId="4A2BF280">
            <w:pPr>
              <w:rPr>
                <w:rFonts w:ascii="Calibri" w:hAnsi="Calibri" w:eastAsia="Calibri"/>
                <w:sz w:val="22"/>
                <w:szCs w:val="22"/>
              </w:rPr>
            </w:pPr>
            <w:r>
              <w:rPr>
                <w:rFonts w:ascii="Calibri" w:hAnsi="Calibri" w:eastAsia="Calibri"/>
                <w:sz w:val="22"/>
                <w:szCs w:val="22"/>
              </w:rPr>
              <w:t>32</w:t>
            </w:r>
          </w:p>
        </w:tc>
      </w:tr>
      <w:tr w14:paraId="6840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807" w:type="dxa"/>
          </w:tcPr>
          <w:p w14:paraId="73A0B808">
            <w:pPr>
              <w:rPr>
                <w:rFonts w:ascii="Calibri" w:hAnsi="Calibri" w:eastAsia="Calibri"/>
                <w:sz w:val="22"/>
                <w:szCs w:val="22"/>
              </w:rPr>
            </w:pPr>
            <w:r>
              <w:rPr>
                <w:rFonts w:ascii="Calibri" w:hAnsi="Calibri" w:eastAsia="Calibri"/>
                <w:sz w:val="22"/>
                <w:szCs w:val="22"/>
              </w:rPr>
              <w:t>Fio overlock – 100grs cor vermelho/ verde</w:t>
            </w:r>
          </w:p>
        </w:tc>
        <w:tc>
          <w:tcPr>
            <w:tcW w:w="709" w:type="dxa"/>
          </w:tcPr>
          <w:p w14:paraId="77C0F108">
            <w:pPr>
              <w:rPr>
                <w:rFonts w:ascii="Calibri" w:hAnsi="Calibri" w:eastAsia="Calibri"/>
                <w:sz w:val="22"/>
                <w:szCs w:val="22"/>
              </w:rPr>
            </w:pPr>
            <w:r>
              <w:rPr>
                <w:rFonts w:ascii="Calibri" w:hAnsi="Calibri" w:eastAsia="Calibri"/>
                <w:sz w:val="22"/>
                <w:szCs w:val="22"/>
              </w:rPr>
              <w:t>UN</w:t>
            </w:r>
          </w:p>
        </w:tc>
        <w:tc>
          <w:tcPr>
            <w:tcW w:w="567" w:type="dxa"/>
          </w:tcPr>
          <w:p w14:paraId="3FEBAFED">
            <w:pPr>
              <w:rPr>
                <w:rFonts w:ascii="Calibri" w:hAnsi="Calibri" w:eastAsia="Calibri"/>
                <w:sz w:val="22"/>
                <w:szCs w:val="22"/>
              </w:rPr>
            </w:pPr>
            <w:r>
              <w:rPr>
                <w:rFonts w:ascii="Calibri" w:hAnsi="Calibri" w:eastAsia="Calibri"/>
                <w:sz w:val="22"/>
                <w:szCs w:val="22"/>
              </w:rPr>
              <w:t>36</w:t>
            </w:r>
          </w:p>
        </w:tc>
      </w:tr>
      <w:tr w14:paraId="086A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0D49A3E">
            <w:pPr>
              <w:rPr>
                <w:rFonts w:ascii="Calibri" w:hAnsi="Calibri" w:eastAsia="Calibri"/>
                <w:sz w:val="22"/>
                <w:szCs w:val="22"/>
              </w:rPr>
            </w:pPr>
            <w:r>
              <w:rPr>
                <w:rFonts w:ascii="Calibri" w:hAnsi="Calibri" w:eastAsia="Calibri"/>
                <w:sz w:val="22"/>
                <w:szCs w:val="22"/>
              </w:rPr>
              <w:t>Tesoura mundial 690 9 ½”</w:t>
            </w:r>
          </w:p>
        </w:tc>
        <w:tc>
          <w:tcPr>
            <w:tcW w:w="709" w:type="dxa"/>
          </w:tcPr>
          <w:p w14:paraId="472E020F">
            <w:pPr>
              <w:rPr>
                <w:rFonts w:ascii="Calibri" w:hAnsi="Calibri" w:eastAsia="Calibri"/>
                <w:sz w:val="22"/>
                <w:szCs w:val="22"/>
              </w:rPr>
            </w:pPr>
            <w:r>
              <w:rPr>
                <w:rFonts w:ascii="Calibri" w:hAnsi="Calibri" w:eastAsia="Calibri"/>
                <w:sz w:val="22"/>
                <w:szCs w:val="22"/>
              </w:rPr>
              <w:t>UN</w:t>
            </w:r>
          </w:p>
        </w:tc>
        <w:tc>
          <w:tcPr>
            <w:tcW w:w="567" w:type="dxa"/>
          </w:tcPr>
          <w:p w14:paraId="4B11C281">
            <w:pPr>
              <w:rPr>
                <w:rFonts w:ascii="Calibri" w:hAnsi="Calibri" w:eastAsia="Calibri"/>
                <w:sz w:val="22"/>
                <w:szCs w:val="22"/>
              </w:rPr>
            </w:pPr>
            <w:r>
              <w:rPr>
                <w:rFonts w:ascii="Calibri" w:hAnsi="Calibri" w:eastAsia="Calibri"/>
                <w:sz w:val="22"/>
                <w:szCs w:val="22"/>
              </w:rPr>
              <w:t>2</w:t>
            </w:r>
          </w:p>
        </w:tc>
      </w:tr>
      <w:tr w14:paraId="4229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5CFFE9F">
            <w:pPr>
              <w:rPr>
                <w:rFonts w:ascii="Calibri" w:hAnsi="Calibri" w:eastAsia="Calibri"/>
                <w:sz w:val="22"/>
                <w:szCs w:val="22"/>
              </w:rPr>
            </w:pPr>
            <w:r>
              <w:rPr>
                <w:rFonts w:ascii="Calibri" w:hAnsi="Calibri" w:eastAsia="Calibri"/>
                <w:sz w:val="22"/>
                <w:szCs w:val="22"/>
              </w:rPr>
              <w:t>Botão grande</w:t>
            </w:r>
          </w:p>
        </w:tc>
        <w:tc>
          <w:tcPr>
            <w:tcW w:w="709" w:type="dxa"/>
          </w:tcPr>
          <w:p w14:paraId="47682175">
            <w:pPr>
              <w:rPr>
                <w:rFonts w:ascii="Calibri" w:hAnsi="Calibri" w:eastAsia="Calibri"/>
                <w:sz w:val="22"/>
                <w:szCs w:val="22"/>
              </w:rPr>
            </w:pPr>
            <w:r>
              <w:rPr>
                <w:rFonts w:ascii="Calibri" w:hAnsi="Calibri" w:eastAsia="Calibri"/>
                <w:sz w:val="22"/>
                <w:szCs w:val="22"/>
              </w:rPr>
              <w:t>UN</w:t>
            </w:r>
          </w:p>
        </w:tc>
        <w:tc>
          <w:tcPr>
            <w:tcW w:w="567" w:type="dxa"/>
          </w:tcPr>
          <w:p w14:paraId="00D85D8D">
            <w:pPr>
              <w:rPr>
                <w:rFonts w:ascii="Calibri" w:hAnsi="Calibri" w:eastAsia="Calibri"/>
                <w:sz w:val="22"/>
                <w:szCs w:val="22"/>
              </w:rPr>
            </w:pPr>
            <w:r>
              <w:rPr>
                <w:rFonts w:ascii="Calibri" w:hAnsi="Calibri" w:eastAsia="Calibri"/>
                <w:sz w:val="22"/>
                <w:szCs w:val="22"/>
              </w:rPr>
              <w:t>40</w:t>
            </w:r>
          </w:p>
        </w:tc>
      </w:tr>
      <w:tr w14:paraId="236E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4B445EF4">
            <w:pPr>
              <w:rPr>
                <w:rFonts w:ascii="Calibri" w:hAnsi="Calibri" w:eastAsia="Calibri"/>
                <w:sz w:val="22"/>
                <w:szCs w:val="22"/>
              </w:rPr>
            </w:pPr>
            <w:r>
              <w:rPr>
                <w:rFonts w:ascii="Calibri" w:hAnsi="Calibri" w:eastAsia="Calibri"/>
                <w:sz w:val="22"/>
                <w:szCs w:val="22"/>
              </w:rPr>
              <w:t xml:space="preserve">Pinça para máquina de costura </w:t>
            </w:r>
          </w:p>
        </w:tc>
        <w:tc>
          <w:tcPr>
            <w:tcW w:w="709" w:type="dxa"/>
          </w:tcPr>
          <w:p w14:paraId="18FB98CD">
            <w:pPr>
              <w:rPr>
                <w:rFonts w:ascii="Calibri" w:hAnsi="Calibri" w:eastAsia="Calibri"/>
                <w:sz w:val="22"/>
                <w:szCs w:val="22"/>
              </w:rPr>
            </w:pPr>
            <w:r>
              <w:rPr>
                <w:rFonts w:ascii="Calibri" w:hAnsi="Calibri" w:eastAsia="Calibri"/>
                <w:sz w:val="22"/>
                <w:szCs w:val="22"/>
              </w:rPr>
              <w:t>UN</w:t>
            </w:r>
          </w:p>
        </w:tc>
        <w:tc>
          <w:tcPr>
            <w:tcW w:w="567" w:type="dxa"/>
          </w:tcPr>
          <w:p w14:paraId="0721A201">
            <w:pPr>
              <w:rPr>
                <w:rFonts w:ascii="Calibri" w:hAnsi="Calibri" w:eastAsia="Calibri"/>
                <w:sz w:val="22"/>
                <w:szCs w:val="22"/>
              </w:rPr>
            </w:pPr>
            <w:r>
              <w:rPr>
                <w:rFonts w:ascii="Calibri" w:hAnsi="Calibri" w:eastAsia="Calibri"/>
                <w:sz w:val="22"/>
                <w:szCs w:val="22"/>
              </w:rPr>
              <w:t>1</w:t>
            </w:r>
          </w:p>
        </w:tc>
      </w:tr>
      <w:tr w14:paraId="0479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1742212">
            <w:pPr>
              <w:rPr>
                <w:rFonts w:ascii="Calibri" w:hAnsi="Calibri" w:eastAsia="Calibri"/>
                <w:sz w:val="22"/>
                <w:szCs w:val="22"/>
              </w:rPr>
            </w:pPr>
            <w:r>
              <w:rPr>
                <w:rFonts w:ascii="Calibri" w:hAnsi="Calibri" w:eastAsia="Calibri"/>
                <w:sz w:val="22"/>
                <w:szCs w:val="22"/>
              </w:rPr>
              <w:t>Elástico poliéster branco 50mm- 25mts</w:t>
            </w:r>
          </w:p>
        </w:tc>
        <w:tc>
          <w:tcPr>
            <w:tcW w:w="709" w:type="dxa"/>
          </w:tcPr>
          <w:p w14:paraId="0F4C0D7E">
            <w:pPr>
              <w:rPr>
                <w:rFonts w:ascii="Calibri" w:hAnsi="Calibri" w:eastAsia="Calibri"/>
                <w:sz w:val="22"/>
                <w:szCs w:val="22"/>
              </w:rPr>
            </w:pPr>
            <w:r>
              <w:rPr>
                <w:rFonts w:ascii="Calibri" w:hAnsi="Calibri" w:eastAsia="Calibri"/>
                <w:sz w:val="22"/>
                <w:szCs w:val="22"/>
              </w:rPr>
              <w:t>PC</w:t>
            </w:r>
          </w:p>
        </w:tc>
        <w:tc>
          <w:tcPr>
            <w:tcW w:w="567" w:type="dxa"/>
          </w:tcPr>
          <w:p w14:paraId="73AE6579">
            <w:pPr>
              <w:rPr>
                <w:rFonts w:ascii="Calibri" w:hAnsi="Calibri" w:eastAsia="Calibri"/>
                <w:sz w:val="22"/>
                <w:szCs w:val="22"/>
              </w:rPr>
            </w:pPr>
            <w:r>
              <w:rPr>
                <w:rFonts w:ascii="Calibri" w:hAnsi="Calibri" w:eastAsia="Calibri"/>
                <w:sz w:val="22"/>
                <w:szCs w:val="22"/>
              </w:rPr>
              <w:t>1</w:t>
            </w:r>
          </w:p>
        </w:tc>
      </w:tr>
      <w:tr w14:paraId="665D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42DFE1B5">
            <w:pPr>
              <w:rPr>
                <w:rFonts w:ascii="Calibri" w:hAnsi="Calibri" w:eastAsia="Calibri"/>
                <w:sz w:val="22"/>
                <w:szCs w:val="22"/>
              </w:rPr>
            </w:pPr>
            <w:r>
              <w:rPr>
                <w:rFonts w:ascii="Calibri" w:hAnsi="Calibri" w:eastAsia="Calibri"/>
                <w:sz w:val="22"/>
                <w:szCs w:val="22"/>
              </w:rPr>
              <w:t xml:space="preserve">Tesoura arremate metal/ colorida </w:t>
            </w:r>
          </w:p>
        </w:tc>
        <w:tc>
          <w:tcPr>
            <w:tcW w:w="709" w:type="dxa"/>
          </w:tcPr>
          <w:p w14:paraId="21E2BD57">
            <w:pPr>
              <w:rPr>
                <w:rFonts w:ascii="Calibri" w:hAnsi="Calibri" w:eastAsia="Calibri"/>
                <w:sz w:val="22"/>
                <w:szCs w:val="22"/>
              </w:rPr>
            </w:pPr>
            <w:r>
              <w:rPr>
                <w:rFonts w:ascii="Calibri" w:hAnsi="Calibri" w:eastAsia="Calibri"/>
                <w:sz w:val="22"/>
                <w:szCs w:val="22"/>
              </w:rPr>
              <w:t>UN</w:t>
            </w:r>
          </w:p>
        </w:tc>
        <w:tc>
          <w:tcPr>
            <w:tcW w:w="567" w:type="dxa"/>
          </w:tcPr>
          <w:p w14:paraId="12866B41">
            <w:pPr>
              <w:rPr>
                <w:rFonts w:ascii="Calibri" w:hAnsi="Calibri" w:eastAsia="Calibri"/>
                <w:sz w:val="22"/>
                <w:szCs w:val="22"/>
              </w:rPr>
            </w:pPr>
            <w:r>
              <w:rPr>
                <w:rFonts w:ascii="Calibri" w:hAnsi="Calibri" w:eastAsia="Calibri"/>
                <w:sz w:val="22"/>
                <w:szCs w:val="22"/>
              </w:rPr>
              <w:t>1</w:t>
            </w:r>
          </w:p>
        </w:tc>
      </w:tr>
      <w:tr w14:paraId="7B30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356E4001">
            <w:pPr>
              <w:rPr>
                <w:rFonts w:ascii="Calibri" w:hAnsi="Calibri" w:eastAsia="Calibri"/>
                <w:sz w:val="22"/>
                <w:szCs w:val="22"/>
              </w:rPr>
            </w:pPr>
            <w:r>
              <w:rPr>
                <w:rFonts w:ascii="Calibri" w:hAnsi="Calibri" w:eastAsia="Calibri"/>
                <w:sz w:val="22"/>
                <w:szCs w:val="22"/>
              </w:rPr>
              <w:t>Helanca escolar – 1,60 larg cor vermelho</w:t>
            </w:r>
          </w:p>
        </w:tc>
        <w:tc>
          <w:tcPr>
            <w:tcW w:w="709" w:type="dxa"/>
          </w:tcPr>
          <w:p w14:paraId="619A254D">
            <w:pPr>
              <w:rPr>
                <w:rFonts w:ascii="Calibri" w:hAnsi="Calibri" w:eastAsia="Calibri"/>
                <w:sz w:val="22"/>
                <w:szCs w:val="22"/>
              </w:rPr>
            </w:pPr>
            <w:r>
              <w:rPr>
                <w:rFonts w:ascii="Calibri" w:hAnsi="Calibri" w:eastAsia="Calibri"/>
                <w:sz w:val="22"/>
                <w:szCs w:val="22"/>
              </w:rPr>
              <w:t>MT</w:t>
            </w:r>
          </w:p>
        </w:tc>
        <w:tc>
          <w:tcPr>
            <w:tcW w:w="567" w:type="dxa"/>
          </w:tcPr>
          <w:p w14:paraId="7195EAFD">
            <w:pPr>
              <w:rPr>
                <w:rFonts w:ascii="Calibri" w:hAnsi="Calibri" w:eastAsia="Calibri"/>
                <w:sz w:val="22"/>
                <w:szCs w:val="22"/>
              </w:rPr>
            </w:pPr>
            <w:r>
              <w:rPr>
                <w:rFonts w:ascii="Calibri" w:hAnsi="Calibri" w:eastAsia="Calibri"/>
                <w:sz w:val="22"/>
                <w:szCs w:val="22"/>
              </w:rPr>
              <w:t>84</w:t>
            </w:r>
          </w:p>
        </w:tc>
      </w:tr>
      <w:tr w14:paraId="016B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40F5F6D">
            <w:pPr>
              <w:rPr>
                <w:rFonts w:ascii="Calibri" w:hAnsi="Calibri" w:eastAsia="Calibri"/>
                <w:sz w:val="22"/>
                <w:szCs w:val="22"/>
              </w:rPr>
            </w:pPr>
            <w:r>
              <w:rPr>
                <w:rFonts w:ascii="Calibri" w:hAnsi="Calibri" w:eastAsia="Calibri"/>
                <w:sz w:val="22"/>
                <w:szCs w:val="22"/>
              </w:rPr>
              <w:t>Veludo alemão – 1,40 larg cor vermelho</w:t>
            </w:r>
          </w:p>
        </w:tc>
        <w:tc>
          <w:tcPr>
            <w:tcW w:w="709" w:type="dxa"/>
          </w:tcPr>
          <w:p w14:paraId="2CCC95AA">
            <w:pPr>
              <w:rPr>
                <w:rFonts w:ascii="Calibri" w:hAnsi="Calibri" w:eastAsia="Calibri"/>
                <w:sz w:val="22"/>
                <w:szCs w:val="22"/>
              </w:rPr>
            </w:pPr>
            <w:r>
              <w:rPr>
                <w:rFonts w:ascii="Calibri" w:hAnsi="Calibri" w:eastAsia="Calibri"/>
                <w:sz w:val="22"/>
                <w:szCs w:val="22"/>
              </w:rPr>
              <w:t>MT</w:t>
            </w:r>
          </w:p>
        </w:tc>
        <w:tc>
          <w:tcPr>
            <w:tcW w:w="567" w:type="dxa"/>
          </w:tcPr>
          <w:p w14:paraId="3F967605">
            <w:pPr>
              <w:rPr>
                <w:rFonts w:ascii="Calibri" w:hAnsi="Calibri" w:eastAsia="Calibri"/>
                <w:sz w:val="22"/>
                <w:szCs w:val="22"/>
              </w:rPr>
            </w:pPr>
            <w:r>
              <w:rPr>
                <w:rFonts w:ascii="Calibri" w:hAnsi="Calibri" w:eastAsia="Calibri"/>
                <w:sz w:val="22"/>
                <w:szCs w:val="22"/>
              </w:rPr>
              <w:t>84</w:t>
            </w:r>
          </w:p>
        </w:tc>
      </w:tr>
      <w:tr w14:paraId="7E26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23F9FE71">
            <w:pPr>
              <w:rPr>
                <w:rFonts w:ascii="Calibri" w:hAnsi="Calibri" w:eastAsia="Calibri"/>
                <w:sz w:val="22"/>
                <w:szCs w:val="22"/>
              </w:rPr>
            </w:pPr>
            <w:r>
              <w:rPr>
                <w:rFonts w:ascii="Calibri" w:hAnsi="Calibri" w:eastAsia="Calibri"/>
                <w:sz w:val="22"/>
                <w:szCs w:val="22"/>
              </w:rPr>
              <w:t>Pelúcia lisa- 1,40 larg cor branca</w:t>
            </w:r>
          </w:p>
        </w:tc>
        <w:tc>
          <w:tcPr>
            <w:tcW w:w="709" w:type="dxa"/>
          </w:tcPr>
          <w:p w14:paraId="48A30A9F">
            <w:pPr>
              <w:rPr>
                <w:rFonts w:ascii="Calibri" w:hAnsi="Calibri" w:eastAsia="Calibri"/>
                <w:sz w:val="22"/>
                <w:szCs w:val="22"/>
              </w:rPr>
            </w:pPr>
            <w:r>
              <w:rPr>
                <w:rFonts w:ascii="Calibri" w:hAnsi="Calibri" w:eastAsia="Calibri"/>
                <w:sz w:val="22"/>
                <w:szCs w:val="22"/>
              </w:rPr>
              <w:t>MT</w:t>
            </w:r>
          </w:p>
        </w:tc>
        <w:tc>
          <w:tcPr>
            <w:tcW w:w="567" w:type="dxa"/>
          </w:tcPr>
          <w:p w14:paraId="31DB4560">
            <w:pPr>
              <w:rPr>
                <w:rFonts w:ascii="Calibri" w:hAnsi="Calibri" w:eastAsia="Calibri"/>
                <w:sz w:val="22"/>
                <w:szCs w:val="22"/>
              </w:rPr>
            </w:pPr>
            <w:r>
              <w:rPr>
                <w:rFonts w:ascii="Calibri" w:hAnsi="Calibri" w:eastAsia="Calibri"/>
                <w:sz w:val="22"/>
                <w:szCs w:val="22"/>
              </w:rPr>
              <w:t>12</w:t>
            </w:r>
          </w:p>
        </w:tc>
      </w:tr>
    </w:tbl>
    <w:p w14:paraId="747FCC08">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BFF1843">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53ED9897">
      <w:pPr>
        <w:rPr>
          <w:w w:val="115"/>
        </w:rPr>
      </w:pPr>
    </w:p>
    <w:p w14:paraId="434CDDF6">
      <w:pPr>
        <w:rPr>
          <w:w w:val="115"/>
        </w:rPr>
      </w:pPr>
    </w:p>
    <w:p w14:paraId="04C41DCD">
      <w:pPr>
        <w:rPr>
          <w:w w:val="115"/>
        </w:rPr>
      </w:pPr>
    </w:p>
    <w:p w14:paraId="6E2F0EB8">
      <w:pPr>
        <w:rPr>
          <w:w w:val="115"/>
        </w:rPr>
      </w:pPr>
    </w:p>
    <w:p w14:paraId="43A47BCA">
      <w:pPr>
        <w:pStyle w:val="2"/>
        <w:ind w:left="0" w:right="20"/>
        <w:jc w:val="center"/>
        <w:rPr>
          <w:w w:val="115"/>
        </w:rPr>
      </w:pPr>
    </w:p>
    <w:p w14:paraId="5716DA88">
      <w:pPr>
        <w:pStyle w:val="2"/>
        <w:ind w:left="0" w:right="20"/>
        <w:jc w:val="center"/>
        <w:rPr>
          <w:w w:val="115"/>
        </w:rPr>
      </w:pPr>
    </w:p>
    <w:p w14:paraId="44C399F6">
      <w:pPr>
        <w:pStyle w:val="2"/>
        <w:ind w:left="0" w:right="20"/>
        <w:jc w:val="center"/>
        <w:rPr>
          <w:w w:val="115"/>
        </w:rPr>
      </w:pPr>
    </w:p>
    <w:p w14:paraId="2CCB1BD8">
      <w:pPr>
        <w:pStyle w:val="2"/>
        <w:ind w:left="0" w:right="20"/>
        <w:jc w:val="both"/>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77457734">
      <w:pPr>
        <w:spacing w:line="360" w:lineRule="auto"/>
        <w:ind w:left="-567" w:right="-708" w:firstLine="709"/>
        <w:jc w:val="both"/>
        <w:rPr>
          <w:rFonts w:ascii="Arial" w:hAnsi="Arial" w:cs="Arial"/>
          <w:sz w:val="24"/>
          <w:szCs w:val="24"/>
        </w:rPr>
      </w:pPr>
    </w:p>
    <w:p w14:paraId="08F5F188">
      <w:pPr>
        <w:pStyle w:val="19"/>
        <w:jc w:val="center"/>
        <w:rPr>
          <w:rFonts w:asciiTheme="majorHAnsi" w:hAnsiTheme="majorHAnsi"/>
        </w:rPr>
      </w:pPr>
      <w:r>
        <w:rPr>
          <w:rFonts w:asciiTheme="majorHAnsi" w:hAnsiTheme="majorHAnsi"/>
        </w:rPr>
        <w:t>TERMO DE REFERÊNCIA – DISPENSA DE LICITAÇÃO</w:t>
      </w:r>
    </w:p>
    <w:p w14:paraId="5E3F9C09">
      <w:pPr>
        <w:pStyle w:val="19"/>
        <w:jc w:val="center"/>
        <w:rPr>
          <w:rFonts w:asciiTheme="majorHAnsi" w:hAnsiTheme="majorHAnsi"/>
        </w:rPr>
      </w:pPr>
    </w:p>
    <w:p w14:paraId="20B350A8">
      <w:pPr>
        <w:pStyle w:val="19"/>
        <w:jc w:val="center"/>
        <w:rPr>
          <w:rFonts w:asciiTheme="majorHAnsi" w:hAnsiTheme="majorHAnsi"/>
        </w:rPr>
      </w:pPr>
    </w:p>
    <w:p w14:paraId="4951F6DC">
      <w:pPr>
        <w:pStyle w:val="19"/>
        <w:jc w:val="both"/>
        <w:rPr>
          <w:rFonts w:asciiTheme="majorHAnsi" w:hAnsiTheme="majorHAnsi"/>
        </w:rPr>
      </w:pPr>
      <w:r>
        <w:rPr>
          <w:rFonts w:asciiTheme="majorHAnsi" w:hAnsiTheme="majorHAnsi"/>
        </w:rPr>
        <w:t>UNIDADE SOLICITANTE: Secretaria de Cultura</w:t>
      </w:r>
    </w:p>
    <w:p w14:paraId="68783DD8">
      <w:pPr>
        <w:pStyle w:val="19"/>
        <w:jc w:val="both"/>
        <w:rPr>
          <w:rFonts w:asciiTheme="majorHAnsi" w:hAnsiTheme="majorHAnsi"/>
        </w:rPr>
      </w:pPr>
      <w:r>
        <w:rPr>
          <w:rFonts w:asciiTheme="majorHAnsi" w:hAnsiTheme="majorHAnsi"/>
        </w:rPr>
        <w:t>Tecidos e aviamentos</w:t>
      </w:r>
    </w:p>
    <w:p w14:paraId="57B728FB">
      <w:pPr>
        <w:pStyle w:val="19"/>
        <w:jc w:val="both"/>
        <w:rPr>
          <w:rFonts w:asciiTheme="majorHAnsi" w:hAnsiTheme="majorHAnsi"/>
        </w:rPr>
      </w:pPr>
    </w:p>
    <w:p w14:paraId="0DD11DD5">
      <w:pPr>
        <w:pStyle w:val="19"/>
        <w:numPr>
          <w:ilvl w:val="0"/>
          <w:numId w:val="9"/>
        </w:numPr>
        <w:jc w:val="both"/>
        <w:rPr>
          <w:rFonts w:asciiTheme="majorHAnsi" w:hAnsiTheme="majorHAnsi"/>
          <w:b/>
          <w:bCs/>
        </w:rPr>
      </w:pPr>
      <w:r>
        <w:rPr>
          <w:rFonts w:asciiTheme="majorHAnsi" w:hAnsiTheme="majorHAnsi"/>
          <w:b/>
          <w:bCs/>
        </w:rPr>
        <w:t>OBJETO</w:t>
      </w:r>
    </w:p>
    <w:p w14:paraId="3ED85B6B">
      <w:pPr>
        <w:adjustRightInd w:val="0"/>
        <w:jc w:val="both"/>
        <w:rPr>
          <w:rFonts w:asciiTheme="majorHAnsi" w:hAnsiTheme="majorHAnsi"/>
          <w:color w:val="000000"/>
          <w:lang w:eastAsia="pt-BR"/>
        </w:rPr>
      </w:pPr>
      <w:bookmarkStart w:id="3" w:name="_Hlk167181760"/>
      <w:r>
        <w:rPr>
          <w:rFonts w:asciiTheme="majorHAnsi" w:hAnsiTheme="majorHAnsi"/>
          <w:color w:val="000000"/>
          <w:lang w:eastAsia="pt-BR"/>
        </w:rPr>
        <w:t>1.1</w:t>
      </w:r>
      <w:bookmarkStart w:id="4" w:name="_Hlk158282731"/>
      <w:r>
        <w:rPr>
          <w:rFonts w:asciiTheme="majorHAnsi" w:hAnsiTheme="majorHAnsi"/>
          <w:color w:val="000000"/>
          <w:lang w:eastAsia="pt-BR"/>
        </w:rPr>
        <w:t>.</w:t>
      </w:r>
      <w:bookmarkEnd w:id="4"/>
      <w:r>
        <w:rPr>
          <w:rFonts w:asciiTheme="majorHAnsi" w:hAnsiTheme="majorHAnsi"/>
          <w:color w:val="000000"/>
          <w:lang w:eastAsia="pt-BR"/>
        </w:rPr>
        <w:t xml:space="preserve"> </w:t>
      </w:r>
      <w:r>
        <w:rPr>
          <w:rFonts w:asciiTheme="majorHAnsi" w:hAnsiTheme="majorHAnsi" w:cstheme="majorHAnsi"/>
        </w:rPr>
        <w:t xml:space="preserve">Aquisição de tecidos para confecção de figurinos do projeto de </w:t>
      </w:r>
      <w:r>
        <w:rPr>
          <w:rFonts w:asciiTheme="majorHAnsi" w:hAnsiTheme="majorHAnsi"/>
          <w:color w:val="000000"/>
          <w:lang w:eastAsia="pt-BR"/>
        </w:rPr>
        <w:t>dança da secretaria de cultura.</w:t>
      </w:r>
    </w:p>
    <w:p w14:paraId="0D37DFE1">
      <w:pPr>
        <w:adjustRightInd w:val="0"/>
        <w:jc w:val="both"/>
        <w:rPr>
          <w:rFonts w:asciiTheme="majorHAnsi" w:hAnsiTheme="majorHAnsi"/>
          <w:color w:val="000000"/>
          <w:lang w:eastAsia="pt-BR"/>
        </w:rPr>
      </w:pPr>
      <w:r>
        <w:rPr>
          <w:rFonts w:asciiTheme="majorHAnsi" w:hAnsiTheme="majorHAnsi"/>
          <w:color w:val="000000"/>
          <w:lang w:eastAsia="pt-BR"/>
        </w:rPr>
        <w:t xml:space="preserve">1.2. Os serviços objeto desta contratação são caracterizados como comuns, uma vez que os padrões de desempenho, quantidade e qualidade podem ser objetivamente definidos por meio de especificações usuais no mercado. </w:t>
      </w:r>
    </w:p>
    <w:bookmarkEnd w:id="3"/>
    <w:p w14:paraId="33948392">
      <w:pPr>
        <w:pStyle w:val="19"/>
        <w:ind w:left="360"/>
        <w:jc w:val="both"/>
        <w:rPr>
          <w:rFonts w:asciiTheme="majorHAnsi" w:hAnsiTheme="majorHAnsi"/>
        </w:rPr>
      </w:pPr>
    </w:p>
    <w:p w14:paraId="638840CB">
      <w:pPr>
        <w:pStyle w:val="19"/>
        <w:jc w:val="both"/>
        <w:rPr>
          <w:rFonts w:asciiTheme="majorHAnsi" w:hAnsiTheme="majorHAnsi"/>
          <w:b/>
          <w:bCs/>
        </w:rPr>
      </w:pPr>
      <w:r>
        <w:rPr>
          <w:rFonts w:asciiTheme="majorHAnsi" w:hAnsiTheme="majorHAnsi"/>
          <w:b/>
          <w:bCs/>
        </w:rPr>
        <w:t>2. JUSTIFICATIVA</w:t>
      </w:r>
    </w:p>
    <w:p w14:paraId="1DBE0DC9">
      <w:pPr>
        <w:ind w:left="-709" w:right="-852"/>
        <w:jc w:val="both"/>
        <w:rPr>
          <w:rFonts w:ascii="Calibri Light" w:hAnsi="Calibri Light" w:cs="Calibri Light"/>
          <w:sz w:val="22"/>
          <w:szCs w:val="22"/>
        </w:rPr>
      </w:pPr>
      <w:bookmarkStart w:id="5" w:name="_Hlk158282791"/>
      <w:bookmarkStart w:id="6" w:name="_Hlk167181798"/>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 xml:space="preserve">2.1. </w:t>
      </w:r>
      <w:r>
        <w:rPr>
          <w:rFonts w:ascii="Calibri Light" w:hAnsi="Calibri Light" w:cs="Calibri Light"/>
          <w:sz w:val="22"/>
          <w:szCs w:val="22"/>
        </w:rPr>
        <w:t xml:space="preserve">A apresentação, é realizada no mês de dezembro, têm como um momento </w:t>
      </w:r>
    </w:p>
    <w:p w14:paraId="5E4B93F2">
      <w:pPr>
        <w:ind w:left="-709" w:right="-852"/>
        <w:jc w:val="both"/>
        <w:rPr>
          <w:rFonts w:ascii="Calibri Light" w:hAnsi="Calibri Light" w:cs="Calibri Light"/>
          <w:sz w:val="22"/>
          <w:szCs w:val="22"/>
        </w:rPr>
      </w:pPr>
      <w:r>
        <w:rPr>
          <w:rFonts w:asciiTheme="majorHAnsi" w:hAnsiTheme="majorHAnsi"/>
          <w:sz w:val="22"/>
          <w:szCs w:val="22"/>
        </w:rPr>
        <w:t xml:space="preserve">              </w:t>
      </w:r>
      <w:r>
        <w:rPr>
          <w:rFonts w:ascii="Calibri Light" w:hAnsi="Calibri Light" w:cs="Calibri Light"/>
          <w:sz w:val="22"/>
          <w:szCs w:val="22"/>
        </w:rPr>
        <w:t>de entretenimento familiar   e cultural, onde as famílias poderão estar presentes para se divertirem</w:t>
      </w:r>
    </w:p>
    <w:p w14:paraId="7D2A93E5">
      <w:pPr>
        <w:jc w:val="both"/>
        <w:rPr>
          <w:rFonts w:ascii="Arial" w:hAnsi="Arial" w:eastAsia="Calibri" w:cs="Arial"/>
          <w:sz w:val="18"/>
          <w:szCs w:val="18"/>
        </w:rPr>
      </w:pPr>
      <w:r>
        <w:rPr>
          <w:rFonts w:ascii="Calibri Light" w:hAnsi="Calibri Light" w:cs="Calibri Light"/>
          <w:sz w:val="22"/>
          <w:szCs w:val="22"/>
        </w:rPr>
        <w:t xml:space="preserve">de forma saudável. </w:t>
      </w:r>
      <w:r>
        <w:rPr>
          <w:rFonts w:ascii="Calibri Light" w:hAnsi="Calibri Light" w:eastAsia="Calibri" w:cs="Calibri Light"/>
          <w:sz w:val="23"/>
          <w:szCs w:val="23"/>
        </w:rPr>
        <w:t>Os eventos culturais são tradicionais no município. As apresentações de dança fazem parte do calendário de eventos anuais de Rifaina, e são importantes para levar acesso à cultura a comunidade, inclusão as crianças e jovens, além de promover o conhecimento, o lazer e a socialização podendo ainda estimular o desenvolvimento do turismo na cidade ou região. São acontecimentos de cunho intelectual, esportivo ou artístico, que habitualmente surpreendem pela criatividade e transbordam em informações e interação com a sociedade</w:t>
      </w:r>
      <w:r>
        <w:rPr>
          <w:rFonts w:ascii="Arial" w:hAnsi="Arial" w:eastAsia="Calibri" w:cs="Arial"/>
          <w:sz w:val="18"/>
          <w:szCs w:val="18"/>
        </w:rPr>
        <w:t xml:space="preserve">. </w:t>
      </w:r>
    </w:p>
    <w:p w14:paraId="36EA2103">
      <w:pPr>
        <w:pStyle w:val="20"/>
        <w:jc w:val="both"/>
        <w:rPr>
          <w:rFonts w:cs="Times New Roman" w:asciiTheme="majorHAnsi" w:hAnsiTheme="majorHAnsi"/>
          <w:sz w:val="22"/>
          <w:szCs w:val="22"/>
        </w:rPr>
      </w:pPr>
      <w:r>
        <w:rPr>
          <w:rFonts w:cs="Times New Roman" w:asciiTheme="majorHAnsi" w:hAnsiTheme="majorHAnsi"/>
          <w:sz w:val="22"/>
          <w:szCs w:val="22"/>
        </w:rPr>
        <w:t>2.2. Os materiais são de extrema importância para a confecção dos figurinos, garantindo assim a elaboração do personagem, contribuir para a plasticidade do espetáculo</w:t>
      </w:r>
      <w:bookmarkEnd w:id="5"/>
      <w:r>
        <w:rPr>
          <w:rFonts w:cs="Times New Roman" w:asciiTheme="majorHAnsi" w:hAnsiTheme="majorHAnsi"/>
          <w:sz w:val="22"/>
          <w:szCs w:val="22"/>
        </w:rPr>
        <w:t xml:space="preserve"> e ajuda a contar a história e a transmitir a emoção da apresentação.</w:t>
      </w:r>
    </w:p>
    <w:p w14:paraId="604A2ED6">
      <w:pPr>
        <w:pStyle w:val="20"/>
        <w:jc w:val="both"/>
        <w:rPr>
          <w:rFonts w:cs="Times New Roman" w:asciiTheme="majorHAnsi" w:hAnsiTheme="majorHAnsi"/>
          <w:sz w:val="22"/>
          <w:szCs w:val="22"/>
        </w:rPr>
      </w:pPr>
      <w:r>
        <w:rPr>
          <w:rFonts w:asciiTheme="majorHAnsi" w:hAnsiTheme="majorHAnsi"/>
        </w:rPr>
        <w:t>2.3 Justifica-se a contratação deste objeto na necessidade de atender a apresentação de 2025 que é evento cultural e faz parte do calendário de festas do município.</w:t>
      </w:r>
    </w:p>
    <w:bookmarkEnd w:id="6"/>
    <w:p w14:paraId="18FABF40">
      <w:pPr>
        <w:pStyle w:val="19"/>
        <w:ind w:left="360"/>
        <w:jc w:val="both"/>
        <w:rPr>
          <w:rFonts w:eastAsia="Times New Roman" w:asciiTheme="majorHAnsi" w:hAnsiTheme="majorHAnsi"/>
          <w:color w:val="000000"/>
          <w:lang w:eastAsia="pt-BR"/>
        </w:rPr>
      </w:pPr>
    </w:p>
    <w:p w14:paraId="4FD08AA0">
      <w:pPr>
        <w:pStyle w:val="19"/>
        <w:numPr>
          <w:ilvl w:val="0"/>
          <w:numId w:val="9"/>
        </w:numPr>
        <w:jc w:val="both"/>
        <w:rPr>
          <w:rFonts w:asciiTheme="majorHAnsi" w:hAnsiTheme="majorHAnsi"/>
        </w:rPr>
      </w:pPr>
      <w:r>
        <w:rPr>
          <w:rFonts w:asciiTheme="majorHAnsi" w:hAnsiTheme="majorHAnsi"/>
          <w:b/>
          <w:bCs/>
        </w:rPr>
        <w:t>DO ATENDIMENTO A LEGISLAÇÃO VIGENTE</w:t>
      </w:r>
      <w:r>
        <w:rPr>
          <w:rFonts w:asciiTheme="majorHAnsi" w:hAnsiTheme="majorHAnsi"/>
        </w:rPr>
        <w:t xml:space="preserve"> </w:t>
      </w:r>
    </w:p>
    <w:p w14:paraId="58796737">
      <w:pPr>
        <w:pStyle w:val="19"/>
        <w:numPr>
          <w:ilvl w:val="0"/>
          <w:numId w:val="9"/>
        </w:numPr>
        <w:jc w:val="both"/>
        <w:rPr>
          <w:rFonts w:asciiTheme="majorHAnsi" w:hAnsiTheme="majorHAnsi"/>
        </w:rPr>
      </w:pPr>
      <w:r>
        <w:rPr>
          <w:rFonts w:asciiTheme="majorHAnsi" w:hAnsiTheme="majorHAnsi"/>
        </w:rPr>
        <w:t xml:space="preserve">Certifico que as pesquisas de preços foram realizadas conforme as normas estabelecidas pelo Art. 23 da Lei Federal n.º 14.133/2021, conforme relatório a seguir: </w:t>
      </w:r>
    </w:p>
    <w:p w14:paraId="447981EC">
      <w:pPr>
        <w:pStyle w:val="19"/>
        <w:jc w:val="both"/>
        <w:rPr>
          <w:rFonts w:asciiTheme="majorHAnsi" w:hAnsiTheme="majorHAnsi"/>
        </w:rPr>
      </w:pPr>
      <w:r>
        <w:rPr>
          <w:rFonts w:asciiTheme="majorHAnsi" w:hAnsiTheme="majorHAnsi"/>
        </w:rPr>
        <w:t xml:space="preserve">3.1. DA CONSULTA AO PNCP </w:t>
      </w:r>
    </w:p>
    <w:p w14:paraId="047A0584">
      <w:pPr>
        <w:pStyle w:val="19"/>
        <w:jc w:val="both"/>
        <w:rPr>
          <w:rFonts w:asciiTheme="majorHAnsi" w:hAnsiTheme="majorHAnsi"/>
        </w:rPr>
      </w:pPr>
      <w:r>
        <w:rPr>
          <w:rFonts w:asciiTheme="majorHAnsi" w:hAnsiTheme="majorHAnsi"/>
        </w:rPr>
        <w:t>3.1.1. Prioritariamente, foram realizadas buscas de preços através da composição de custos unitários menores ou iguais à mediana do item correspondente disponíveis no Portal Nacional de Contratações Públicas (PNCP), porém não foi possível encontrar os itens necessários e similares ao pretendidos na contratação suficientes para levantar os preços referenciais para balizar os valores estimados para a presente contratação. Além da instabilidade no programa. Nos produtos requeridos há específicos com estrutura, desenho e formato usados desde o ano de 2019.</w:t>
      </w:r>
    </w:p>
    <w:p w14:paraId="1E431745">
      <w:pPr>
        <w:pStyle w:val="19"/>
        <w:jc w:val="both"/>
        <w:rPr>
          <w:rFonts w:asciiTheme="majorHAnsi" w:hAnsiTheme="majorHAnsi"/>
        </w:rPr>
      </w:pPr>
      <w:r>
        <w:rPr>
          <w:rFonts w:asciiTheme="majorHAnsi" w:hAnsiTheme="majorHAnsi"/>
        </w:rPr>
        <w:t>3.2. DA CONSULTA A CONTRATAÇÕES SIMILARES DE OUTROS ÓRGÃOS PÚBLICOS</w:t>
      </w:r>
    </w:p>
    <w:p w14:paraId="0EE081B8">
      <w:pPr>
        <w:pStyle w:val="19"/>
        <w:jc w:val="both"/>
        <w:rPr>
          <w:rFonts w:asciiTheme="majorHAnsi" w:hAnsiTheme="majorHAnsi"/>
        </w:rPr>
      </w:pPr>
      <w:r>
        <w:rPr>
          <w:rFonts w:asciiTheme="majorHAnsi" w:hAnsiTheme="majorHAnsi"/>
        </w:rPr>
        <w:t>3.2.1. Foi feito consulta e consta em anexo a pesquisa realizada de atas para referência de valor do objeto dentro do ano de 2024 e 2025. Através da consulta foi possível levantar os preços referenciais suficientes para balizar os valores estimados para a presente contratação, especialmente pela motivação que cerca um objeto tão específico, detalhando especifico pois são cadernos com impressão de artes próprias frente e verso de capa e contra capa. Em conjunto com pesquisas realizadas dentro do programa Banco de Preços.</w:t>
      </w:r>
    </w:p>
    <w:p w14:paraId="55DD268A">
      <w:pPr>
        <w:pStyle w:val="19"/>
        <w:jc w:val="both"/>
        <w:rPr>
          <w:rFonts w:asciiTheme="majorHAnsi" w:hAnsiTheme="majorHAnsi"/>
        </w:rPr>
      </w:pPr>
      <w:r>
        <w:rPr>
          <w:rFonts w:asciiTheme="majorHAnsi" w:hAnsiTheme="majorHAnsi"/>
        </w:rPr>
        <w:t xml:space="preserve">3.2.2 Foi feita então uma pesquisa de fornecedores local e da região e que a qualidade do material já é comprovada com também os valores com menor custo e que atendem a necessidade do objeto. </w:t>
      </w:r>
    </w:p>
    <w:p w14:paraId="4576A1BE">
      <w:pPr>
        <w:pStyle w:val="19"/>
        <w:jc w:val="both"/>
        <w:rPr>
          <w:rFonts w:asciiTheme="majorHAnsi" w:hAnsiTheme="majorHAnsi"/>
        </w:rPr>
      </w:pPr>
      <w:r>
        <w:rPr>
          <w:rFonts w:asciiTheme="majorHAnsi" w:hAnsiTheme="majorHAnsi"/>
        </w:rPr>
        <w:t xml:space="preserve">3.2.3 A secretaria indica a aquisição do material com fornecedores da região, pois além da qualidade do material, o comprometimento com a entrega dentro das datas exigidas é cumprido. </w:t>
      </w:r>
    </w:p>
    <w:p w14:paraId="38AF7CC5">
      <w:pPr>
        <w:pStyle w:val="19"/>
        <w:jc w:val="both"/>
        <w:rPr>
          <w:rFonts w:asciiTheme="majorHAnsi" w:hAnsiTheme="majorHAnsi"/>
        </w:rPr>
      </w:pPr>
    </w:p>
    <w:p w14:paraId="158D015B">
      <w:pPr>
        <w:pStyle w:val="19"/>
        <w:jc w:val="both"/>
        <w:rPr>
          <w:rFonts w:asciiTheme="majorHAnsi" w:hAnsiTheme="majorHAnsi"/>
        </w:rPr>
      </w:pPr>
      <w:r>
        <w:rPr>
          <w:rFonts w:asciiTheme="majorHAnsi" w:hAnsiTheme="majorHAnsi"/>
        </w:rPr>
        <w:t>3.3. DOS ANEXOS</w:t>
      </w:r>
    </w:p>
    <w:p w14:paraId="21C3D69D">
      <w:pPr>
        <w:pStyle w:val="19"/>
        <w:ind w:left="708"/>
        <w:jc w:val="both"/>
        <w:rPr>
          <w:rFonts w:asciiTheme="majorHAnsi" w:hAnsiTheme="majorHAnsi"/>
        </w:rPr>
      </w:pPr>
      <w:r>
        <w:rPr>
          <w:rFonts w:asciiTheme="majorHAnsi" w:hAnsiTheme="majorHAnsi"/>
        </w:rPr>
        <w:t xml:space="preserve">Cotações realizadas </w:t>
      </w:r>
    </w:p>
    <w:p w14:paraId="26AB79A2">
      <w:pPr>
        <w:pStyle w:val="19"/>
        <w:ind w:left="708"/>
        <w:jc w:val="both"/>
        <w:rPr>
          <w:rFonts w:asciiTheme="majorHAnsi" w:hAnsiTheme="majorHAnsi"/>
        </w:rPr>
      </w:pPr>
    </w:p>
    <w:p w14:paraId="710D1821">
      <w:pPr>
        <w:pStyle w:val="19"/>
        <w:jc w:val="both"/>
        <w:rPr>
          <w:rFonts w:asciiTheme="majorHAnsi" w:hAnsiTheme="majorHAnsi"/>
          <w:b/>
          <w:bCs/>
        </w:rPr>
      </w:pPr>
      <w:r>
        <w:rPr>
          <w:rFonts w:asciiTheme="majorHAnsi" w:hAnsiTheme="majorHAnsi"/>
          <w:b/>
          <w:bCs/>
        </w:rPr>
        <w:t>4. ESTIMATIVA E PREÇOS REFERENCIAIS</w:t>
      </w:r>
    </w:p>
    <w:p w14:paraId="5DC09064">
      <w:pPr>
        <w:pStyle w:val="19"/>
        <w:jc w:val="both"/>
        <w:rPr>
          <w:rFonts w:asciiTheme="majorHAnsi" w:hAnsiTheme="majorHAnsi"/>
          <w:b/>
          <w:bCs/>
        </w:rPr>
      </w:pPr>
    </w:p>
    <w:p w14:paraId="3D4CD23F">
      <w:pPr>
        <w:rPr>
          <w:rFonts w:asciiTheme="majorHAnsi" w:hAnsiTheme="majorHAnsi" w:cstheme="majorHAnsi"/>
          <w:sz w:val="22"/>
          <w:szCs w:val="22"/>
        </w:rPr>
      </w:pPr>
      <w:r>
        <w:rPr>
          <w:rFonts w:asciiTheme="majorHAnsi" w:hAnsiTheme="majorHAnsi" w:cstheme="majorHAnsi"/>
          <w:sz w:val="22"/>
          <w:szCs w:val="22"/>
        </w:rPr>
        <w:t xml:space="preserve">REFERENTE A AQUISIÇÃO DE TECIDOS PARA CONFECÇÃO DE FIGURINOS DO PROJETO DE DANÇA </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7"/>
        <w:gridCol w:w="709"/>
        <w:gridCol w:w="567"/>
        <w:gridCol w:w="1134"/>
      </w:tblGrid>
      <w:tr w14:paraId="0D26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71C6624">
            <w:pPr>
              <w:rPr>
                <w:rFonts w:ascii="Calibri" w:hAnsi="Calibri" w:eastAsia="Calibri"/>
                <w:sz w:val="22"/>
                <w:szCs w:val="22"/>
              </w:rPr>
            </w:pPr>
            <w:r>
              <w:rPr>
                <w:rFonts w:ascii="Calibri" w:hAnsi="Calibri" w:eastAsia="Calibri"/>
                <w:sz w:val="22"/>
                <w:szCs w:val="22"/>
              </w:rPr>
              <w:t>Linha cone -1500mts cor vermelho / verde</w:t>
            </w:r>
          </w:p>
        </w:tc>
        <w:tc>
          <w:tcPr>
            <w:tcW w:w="709" w:type="dxa"/>
          </w:tcPr>
          <w:p w14:paraId="6DABDDF4">
            <w:pPr>
              <w:rPr>
                <w:rFonts w:ascii="Calibri" w:hAnsi="Calibri" w:eastAsia="Calibri"/>
                <w:sz w:val="22"/>
                <w:szCs w:val="22"/>
              </w:rPr>
            </w:pPr>
            <w:r>
              <w:rPr>
                <w:rFonts w:ascii="Calibri" w:hAnsi="Calibri" w:eastAsia="Calibri"/>
                <w:sz w:val="22"/>
                <w:szCs w:val="22"/>
              </w:rPr>
              <w:t>UN</w:t>
            </w:r>
          </w:p>
        </w:tc>
        <w:tc>
          <w:tcPr>
            <w:tcW w:w="567" w:type="dxa"/>
          </w:tcPr>
          <w:p w14:paraId="3D5E2DDD">
            <w:pPr>
              <w:rPr>
                <w:rFonts w:ascii="Calibri" w:hAnsi="Calibri" w:eastAsia="Calibri"/>
                <w:sz w:val="22"/>
                <w:szCs w:val="22"/>
              </w:rPr>
            </w:pPr>
            <w:r>
              <w:rPr>
                <w:rFonts w:ascii="Calibri" w:hAnsi="Calibri" w:eastAsia="Calibri"/>
                <w:sz w:val="22"/>
                <w:szCs w:val="22"/>
              </w:rPr>
              <w:t>32</w:t>
            </w:r>
          </w:p>
        </w:tc>
        <w:tc>
          <w:tcPr>
            <w:tcW w:w="1134" w:type="dxa"/>
          </w:tcPr>
          <w:p w14:paraId="1302FEC8">
            <w:pPr>
              <w:rPr>
                <w:rFonts w:ascii="Calibri" w:hAnsi="Calibri" w:eastAsia="Calibri"/>
                <w:sz w:val="22"/>
                <w:szCs w:val="22"/>
              </w:rPr>
            </w:pPr>
            <w:r>
              <w:rPr>
                <w:rFonts w:ascii="Calibri" w:hAnsi="Calibri" w:eastAsia="Calibri"/>
                <w:sz w:val="22"/>
                <w:szCs w:val="22"/>
              </w:rPr>
              <w:t>6,27</w:t>
            </w:r>
          </w:p>
        </w:tc>
      </w:tr>
      <w:tr w14:paraId="776A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08E257AE">
            <w:pPr>
              <w:rPr>
                <w:rFonts w:ascii="Calibri" w:hAnsi="Calibri" w:eastAsia="Calibri"/>
                <w:sz w:val="22"/>
                <w:szCs w:val="22"/>
              </w:rPr>
            </w:pPr>
            <w:r>
              <w:rPr>
                <w:rFonts w:ascii="Calibri" w:hAnsi="Calibri" w:eastAsia="Calibri"/>
                <w:sz w:val="22"/>
                <w:szCs w:val="22"/>
              </w:rPr>
              <w:t>Fio overlock – 100grs cor vermelho/ verde</w:t>
            </w:r>
          </w:p>
        </w:tc>
        <w:tc>
          <w:tcPr>
            <w:tcW w:w="709" w:type="dxa"/>
          </w:tcPr>
          <w:p w14:paraId="2F0869D7">
            <w:pPr>
              <w:rPr>
                <w:rFonts w:ascii="Calibri" w:hAnsi="Calibri" w:eastAsia="Calibri"/>
                <w:sz w:val="22"/>
                <w:szCs w:val="22"/>
              </w:rPr>
            </w:pPr>
            <w:r>
              <w:rPr>
                <w:rFonts w:ascii="Calibri" w:hAnsi="Calibri" w:eastAsia="Calibri"/>
                <w:sz w:val="22"/>
                <w:szCs w:val="22"/>
              </w:rPr>
              <w:t>UN</w:t>
            </w:r>
          </w:p>
        </w:tc>
        <w:tc>
          <w:tcPr>
            <w:tcW w:w="567" w:type="dxa"/>
          </w:tcPr>
          <w:p w14:paraId="6A637E4D">
            <w:pPr>
              <w:rPr>
                <w:rFonts w:ascii="Calibri" w:hAnsi="Calibri" w:eastAsia="Calibri"/>
                <w:sz w:val="22"/>
                <w:szCs w:val="22"/>
              </w:rPr>
            </w:pPr>
            <w:r>
              <w:rPr>
                <w:rFonts w:ascii="Calibri" w:hAnsi="Calibri" w:eastAsia="Calibri"/>
                <w:sz w:val="22"/>
                <w:szCs w:val="22"/>
              </w:rPr>
              <w:t>36</w:t>
            </w:r>
          </w:p>
        </w:tc>
        <w:tc>
          <w:tcPr>
            <w:tcW w:w="1134" w:type="dxa"/>
          </w:tcPr>
          <w:p w14:paraId="4FC8DFDA">
            <w:pPr>
              <w:rPr>
                <w:rFonts w:ascii="Calibri" w:hAnsi="Calibri" w:eastAsia="Calibri"/>
                <w:sz w:val="22"/>
                <w:szCs w:val="22"/>
              </w:rPr>
            </w:pPr>
            <w:r>
              <w:rPr>
                <w:rFonts w:ascii="Calibri" w:hAnsi="Calibri" w:eastAsia="Calibri"/>
                <w:sz w:val="22"/>
                <w:szCs w:val="22"/>
              </w:rPr>
              <w:t>9,71</w:t>
            </w:r>
          </w:p>
        </w:tc>
      </w:tr>
      <w:tr w14:paraId="7B03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0D4810B6">
            <w:pPr>
              <w:rPr>
                <w:rFonts w:ascii="Calibri" w:hAnsi="Calibri" w:eastAsia="Calibri"/>
                <w:sz w:val="22"/>
                <w:szCs w:val="22"/>
              </w:rPr>
            </w:pPr>
            <w:r>
              <w:rPr>
                <w:rFonts w:ascii="Calibri" w:hAnsi="Calibri" w:eastAsia="Calibri"/>
                <w:sz w:val="22"/>
                <w:szCs w:val="22"/>
              </w:rPr>
              <w:t>Tesoura mundial 690 9 ½”</w:t>
            </w:r>
          </w:p>
        </w:tc>
        <w:tc>
          <w:tcPr>
            <w:tcW w:w="709" w:type="dxa"/>
          </w:tcPr>
          <w:p w14:paraId="5387AFC8">
            <w:pPr>
              <w:rPr>
                <w:rFonts w:ascii="Calibri" w:hAnsi="Calibri" w:eastAsia="Calibri"/>
                <w:sz w:val="22"/>
                <w:szCs w:val="22"/>
              </w:rPr>
            </w:pPr>
            <w:r>
              <w:rPr>
                <w:rFonts w:ascii="Calibri" w:hAnsi="Calibri" w:eastAsia="Calibri"/>
                <w:sz w:val="22"/>
                <w:szCs w:val="22"/>
              </w:rPr>
              <w:t>UN</w:t>
            </w:r>
          </w:p>
        </w:tc>
        <w:tc>
          <w:tcPr>
            <w:tcW w:w="567" w:type="dxa"/>
          </w:tcPr>
          <w:p w14:paraId="3DD5B4EE">
            <w:pPr>
              <w:rPr>
                <w:rFonts w:ascii="Calibri" w:hAnsi="Calibri" w:eastAsia="Calibri"/>
                <w:sz w:val="22"/>
                <w:szCs w:val="22"/>
              </w:rPr>
            </w:pPr>
            <w:r>
              <w:rPr>
                <w:rFonts w:ascii="Calibri" w:hAnsi="Calibri" w:eastAsia="Calibri"/>
                <w:sz w:val="22"/>
                <w:szCs w:val="22"/>
              </w:rPr>
              <w:t>2</w:t>
            </w:r>
          </w:p>
        </w:tc>
        <w:tc>
          <w:tcPr>
            <w:tcW w:w="1134" w:type="dxa"/>
          </w:tcPr>
          <w:p w14:paraId="035FAC87">
            <w:pPr>
              <w:rPr>
                <w:rFonts w:ascii="Calibri" w:hAnsi="Calibri" w:eastAsia="Calibri"/>
                <w:sz w:val="22"/>
                <w:szCs w:val="22"/>
              </w:rPr>
            </w:pPr>
            <w:r>
              <w:rPr>
                <w:rFonts w:ascii="Calibri" w:hAnsi="Calibri" w:eastAsia="Calibri"/>
                <w:sz w:val="22"/>
                <w:szCs w:val="22"/>
              </w:rPr>
              <w:t>79,12</w:t>
            </w:r>
          </w:p>
        </w:tc>
      </w:tr>
      <w:tr w14:paraId="58C7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5C82ADF">
            <w:pPr>
              <w:rPr>
                <w:rFonts w:ascii="Calibri" w:hAnsi="Calibri" w:eastAsia="Calibri"/>
                <w:sz w:val="22"/>
                <w:szCs w:val="22"/>
              </w:rPr>
            </w:pPr>
            <w:r>
              <w:rPr>
                <w:rFonts w:ascii="Calibri" w:hAnsi="Calibri" w:eastAsia="Calibri"/>
                <w:sz w:val="22"/>
                <w:szCs w:val="22"/>
              </w:rPr>
              <w:t>Botão grande</w:t>
            </w:r>
          </w:p>
        </w:tc>
        <w:tc>
          <w:tcPr>
            <w:tcW w:w="709" w:type="dxa"/>
          </w:tcPr>
          <w:p w14:paraId="72AAB96C">
            <w:pPr>
              <w:rPr>
                <w:rFonts w:ascii="Calibri" w:hAnsi="Calibri" w:eastAsia="Calibri"/>
                <w:sz w:val="22"/>
                <w:szCs w:val="22"/>
              </w:rPr>
            </w:pPr>
            <w:r>
              <w:rPr>
                <w:rFonts w:ascii="Calibri" w:hAnsi="Calibri" w:eastAsia="Calibri"/>
                <w:sz w:val="22"/>
                <w:szCs w:val="22"/>
              </w:rPr>
              <w:t>UN</w:t>
            </w:r>
          </w:p>
        </w:tc>
        <w:tc>
          <w:tcPr>
            <w:tcW w:w="567" w:type="dxa"/>
          </w:tcPr>
          <w:p w14:paraId="74B48DD0">
            <w:pPr>
              <w:rPr>
                <w:rFonts w:ascii="Calibri" w:hAnsi="Calibri" w:eastAsia="Calibri"/>
                <w:sz w:val="22"/>
                <w:szCs w:val="22"/>
              </w:rPr>
            </w:pPr>
            <w:r>
              <w:rPr>
                <w:rFonts w:ascii="Calibri" w:hAnsi="Calibri" w:eastAsia="Calibri"/>
                <w:sz w:val="22"/>
                <w:szCs w:val="22"/>
              </w:rPr>
              <w:t>40</w:t>
            </w:r>
          </w:p>
        </w:tc>
        <w:tc>
          <w:tcPr>
            <w:tcW w:w="1134" w:type="dxa"/>
          </w:tcPr>
          <w:p w14:paraId="078987C0">
            <w:pPr>
              <w:rPr>
                <w:rFonts w:ascii="Calibri" w:hAnsi="Calibri" w:eastAsia="Calibri"/>
                <w:sz w:val="22"/>
                <w:szCs w:val="22"/>
              </w:rPr>
            </w:pPr>
            <w:r>
              <w:rPr>
                <w:rFonts w:ascii="Calibri" w:hAnsi="Calibri" w:eastAsia="Calibri"/>
                <w:sz w:val="22"/>
                <w:szCs w:val="22"/>
              </w:rPr>
              <w:t>1,33</w:t>
            </w:r>
          </w:p>
        </w:tc>
      </w:tr>
      <w:tr w14:paraId="1EB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DED4E02">
            <w:pPr>
              <w:rPr>
                <w:rFonts w:ascii="Calibri" w:hAnsi="Calibri" w:eastAsia="Calibri"/>
                <w:sz w:val="22"/>
                <w:szCs w:val="22"/>
              </w:rPr>
            </w:pPr>
            <w:r>
              <w:rPr>
                <w:rFonts w:ascii="Calibri" w:hAnsi="Calibri" w:eastAsia="Calibri"/>
                <w:sz w:val="22"/>
                <w:szCs w:val="22"/>
              </w:rPr>
              <w:t xml:space="preserve">Pinça para máquina de costura </w:t>
            </w:r>
          </w:p>
        </w:tc>
        <w:tc>
          <w:tcPr>
            <w:tcW w:w="709" w:type="dxa"/>
          </w:tcPr>
          <w:p w14:paraId="4D7B51D1">
            <w:pPr>
              <w:rPr>
                <w:rFonts w:ascii="Calibri" w:hAnsi="Calibri" w:eastAsia="Calibri"/>
                <w:sz w:val="22"/>
                <w:szCs w:val="22"/>
              </w:rPr>
            </w:pPr>
            <w:r>
              <w:rPr>
                <w:rFonts w:ascii="Calibri" w:hAnsi="Calibri" w:eastAsia="Calibri"/>
                <w:sz w:val="22"/>
                <w:szCs w:val="22"/>
              </w:rPr>
              <w:t>UN</w:t>
            </w:r>
          </w:p>
        </w:tc>
        <w:tc>
          <w:tcPr>
            <w:tcW w:w="567" w:type="dxa"/>
          </w:tcPr>
          <w:p w14:paraId="03C8AD87">
            <w:pPr>
              <w:rPr>
                <w:rFonts w:ascii="Calibri" w:hAnsi="Calibri" w:eastAsia="Calibri"/>
                <w:sz w:val="22"/>
                <w:szCs w:val="22"/>
              </w:rPr>
            </w:pPr>
            <w:r>
              <w:rPr>
                <w:rFonts w:ascii="Calibri" w:hAnsi="Calibri" w:eastAsia="Calibri"/>
                <w:sz w:val="22"/>
                <w:szCs w:val="22"/>
              </w:rPr>
              <w:t>1</w:t>
            </w:r>
          </w:p>
        </w:tc>
        <w:tc>
          <w:tcPr>
            <w:tcW w:w="1134" w:type="dxa"/>
          </w:tcPr>
          <w:p w14:paraId="3050B650">
            <w:pPr>
              <w:rPr>
                <w:rFonts w:ascii="Calibri" w:hAnsi="Calibri" w:eastAsia="Calibri"/>
                <w:sz w:val="22"/>
                <w:szCs w:val="22"/>
              </w:rPr>
            </w:pPr>
            <w:r>
              <w:rPr>
                <w:rFonts w:ascii="Calibri" w:hAnsi="Calibri" w:eastAsia="Calibri"/>
                <w:sz w:val="22"/>
                <w:szCs w:val="22"/>
              </w:rPr>
              <w:t>7,99</w:t>
            </w:r>
          </w:p>
        </w:tc>
      </w:tr>
      <w:tr w14:paraId="5900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30A7FD4">
            <w:pPr>
              <w:rPr>
                <w:rFonts w:ascii="Calibri" w:hAnsi="Calibri" w:eastAsia="Calibri"/>
                <w:sz w:val="22"/>
                <w:szCs w:val="22"/>
              </w:rPr>
            </w:pPr>
            <w:r>
              <w:rPr>
                <w:rFonts w:ascii="Calibri" w:hAnsi="Calibri" w:eastAsia="Calibri"/>
                <w:sz w:val="22"/>
                <w:szCs w:val="22"/>
              </w:rPr>
              <w:t>Elástico poliéster branco 50mm- 25mts</w:t>
            </w:r>
          </w:p>
        </w:tc>
        <w:tc>
          <w:tcPr>
            <w:tcW w:w="709" w:type="dxa"/>
          </w:tcPr>
          <w:p w14:paraId="73FB76A5">
            <w:pPr>
              <w:rPr>
                <w:rFonts w:ascii="Calibri" w:hAnsi="Calibri" w:eastAsia="Calibri"/>
                <w:sz w:val="22"/>
                <w:szCs w:val="22"/>
              </w:rPr>
            </w:pPr>
            <w:r>
              <w:rPr>
                <w:rFonts w:ascii="Calibri" w:hAnsi="Calibri" w:eastAsia="Calibri"/>
                <w:sz w:val="22"/>
                <w:szCs w:val="22"/>
              </w:rPr>
              <w:t>PC</w:t>
            </w:r>
          </w:p>
        </w:tc>
        <w:tc>
          <w:tcPr>
            <w:tcW w:w="567" w:type="dxa"/>
          </w:tcPr>
          <w:p w14:paraId="012B2696">
            <w:pPr>
              <w:rPr>
                <w:rFonts w:ascii="Calibri" w:hAnsi="Calibri" w:eastAsia="Calibri"/>
                <w:sz w:val="22"/>
                <w:szCs w:val="22"/>
              </w:rPr>
            </w:pPr>
            <w:r>
              <w:rPr>
                <w:rFonts w:ascii="Calibri" w:hAnsi="Calibri" w:eastAsia="Calibri"/>
                <w:sz w:val="22"/>
                <w:szCs w:val="22"/>
              </w:rPr>
              <w:t>1</w:t>
            </w:r>
          </w:p>
        </w:tc>
        <w:tc>
          <w:tcPr>
            <w:tcW w:w="1134" w:type="dxa"/>
          </w:tcPr>
          <w:p w14:paraId="0477D6D6">
            <w:pPr>
              <w:rPr>
                <w:rFonts w:ascii="Calibri" w:hAnsi="Calibri" w:eastAsia="Calibri"/>
                <w:sz w:val="22"/>
                <w:szCs w:val="22"/>
              </w:rPr>
            </w:pPr>
            <w:r>
              <w:rPr>
                <w:rFonts w:ascii="Calibri" w:hAnsi="Calibri" w:eastAsia="Calibri"/>
                <w:sz w:val="22"/>
                <w:szCs w:val="22"/>
              </w:rPr>
              <w:t>36,12</w:t>
            </w:r>
          </w:p>
        </w:tc>
      </w:tr>
      <w:tr w14:paraId="2A6C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43D70EE3">
            <w:pPr>
              <w:rPr>
                <w:rFonts w:ascii="Calibri" w:hAnsi="Calibri" w:eastAsia="Calibri"/>
                <w:sz w:val="22"/>
                <w:szCs w:val="22"/>
              </w:rPr>
            </w:pPr>
            <w:r>
              <w:rPr>
                <w:rFonts w:ascii="Calibri" w:hAnsi="Calibri" w:eastAsia="Calibri"/>
                <w:sz w:val="22"/>
                <w:szCs w:val="22"/>
              </w:rPr>
              <w:t xml:space="preserve">Tesoura arremate metal/ colorida </w:t>
            </w:r>
          </w:p>
        </w:tc>
        <w:tc>
          <w:tcPr>
            <w:tcW w:w="709" w:type="dxa"/>
          </w:tcPr>
          <w:p w14:paraId="7D8282A3">
            <w:pPr>
              <w:rPr>
                <w:rFonts w:ascii="Calibri" w:hAnsi="Calibri" w:eastAsia="Calibri"/>
                <w:sz w:val="22"/>
                <w:szCs w:val="22"/>
              </w:rPr>
            </w:pPr>
            <w:r>
              <w:rPr>
                <w:rFonts w:ascii="Calibri" w:hAnsi="Calibri" w:eastAsia="Calibri"/>
                <w:sz w:val="22"/>
                <w:szCs w:val="22"/>
              </w:rPr>
              <w:t>UN</w:t>
            </w:r>
          </w:p>
        </w:tc>
        <w:tc>
          <w:tcPr>
            <w:tcW w:w="567" w:type="dxa"/>
          </w:tcPr>
          <w:p w14:paraId="377B863B">
            <w:pPr>
              <w:rPr>
                <w:rFonts w:ascii="Calibri" w:hAnsi="Calibri" w:eastAsia="Calibri"/>
                <w:sz w:val="22"/>
                <w:szCs w:val="22"/>
              </w:rPr>
            </w:pPr>
            <w:r>
              <w:rPr>
                <w:rFonts w:ascii="Calibri" w:hAnsi="Calibri" w:eastAsia="Calibri"/>
                <w:sz w:val="22"/>
                <w:szCs w:val="22"/>
              </w:rPr>
              <w:t>1</w:t>
            </w:r>
          </w:p>
        </w:tc>
        <w:tc>
          <w:tcPr>
            <w:tcW w:w="1134" w:type="dxa"/>
          </w:tcPr>
          <w:p w14:paraId="49CD5C61">
            <w:pPr>
              <w:rPr>
                <w:rFonts w:ascii="Calibri" w:hAnsi="Calibri" w:eastAsia="Calibri"/>
                <w:sz w:val="22"/>
                <w:szCs w:val="22"/>
              </w:rPr>
            </w:pPr>
            <w:r>
              <w:rPr>
                <w:rFonts w:ascii="Calibri" w:hAnsi="Calibri" w:eastAsia="Calibri"/>
                <w:sz w:val="22"/>
                <w:szCs w:val="22"/>
              </w:rPr>
              <w:t>6,11</w:t>
            </w:r>
          </w:p>
        </w:tc>
      </w:tr>
      <w:tr w14:paraId="2E9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65785FB9">
            <w:pPr>
              <w:rPr>
                <w:rFonts w:ascii="Calibri" w:hAnsi="Calibri" w:eastAsia="Calibri"/>
                <w:sz w:val="22"/>
                <w:szCs w:val="22"/>
              </w:rPr>
            </w:pPr>
            <w:r>
              <w:rPr>
                <w:rFonts w:ascii="Calibri" w:hAnsi="Calibri" w:eastAsia="Calibri"/>
                <w:sz w:val="22"/>
                <w:szCs w:val="22"/>
              </w:rPr>
              <w:t>Helanca escolar – 1,60 larg cor vermelho</w:t>
            </w:r>
          </w:p>
        </w:tc>
        <w:tc>
          <w:tcPr>
            <w:tcW w:w="709" w:type="dxa"/>
          </w:tcPr>
          <w:p w14:paraId="72C26169">
            <w:pPr>
              <w:rPr>
                <w:rFonts w:ascii="Calibri" w:hAnsi="Calibri" w:eastAsia="Calibri"/>
                <w:sz w:val="22"/>
                <w:szCs w:val="22"/>
              </w:rPr>
            </w:pPr>
            <w:r>
              <w:rPr>
                <w:rFonts w:ascii="Calibri" w:hAnsi="Calibri" w:eastAsia="Calibri"/>
                <w:sz w:val="22"/>
                <w:szCs w:val="22"/>
              </w:rPr>
              <w:t>MT</w:t>
            </w:r>
          </w:p>
        </w:tc>
        <w:tc>
          <w:tcPr>
            <w:tcW w:w="567" w:type="dxa"/>
          </w:tcPr>
          <w:p w14:paraId="12C5A87C">
            <w:pPr>
              <w:rPr>
                <w:rFonts w:ascii="Calibri" w:hAnsi="Calibri" w:eastAsia="Calibri"/>
                <w:sz w:val="22"/>
                <w:szCs w:val="22"/>
              </w:rPr>
            </w:pPr>
            <w:r>
              <w:rPr>
                <w:rFonts w:ascii="Calibri" w:hAnsi="Calibri" w:eastAsia="Calibri"/>
                <w:sz w:val="22"/>
                <w:szCs w:val="22"/>
              </w:rPr>
              <w:t>84</w:t>
            </w:r>
          </w:p>
        </w:tc>
        <w:tc>
          <w:tcPr>
            <w:tcW w:w="1134" w:type="dxa"/>
          </w:tcPr>
          <w:p w14:paraId="1F64DAF5">
            <w:pPr>
              <w:rPr>
                <w:rFonts w:ascii="Calibri" w:hAnsi="Calibri" w:eastAsia="Calibri"/>
                <w:sz w:val="22"/>
                <w:szCs w:val="22"/>
              </w:rPr>
            </w:pPr>
            <w:r>
              <w:rPr>
                <w:rFonts w:ascii="Calibri" w:hAnsi="Calibri" w:eastAsia="Calibri"/>
                <w:sz w:val="22"/>
                <w:szCs w:val="22"/>
              </w:rPr>
              <w:t>32,40</w:t>
            </w:r>
          </w:p>
        </w:tc>
      </w:tr>
      <w:tr w14:paraId="5F0D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737D10D">
            <w:pPr>
              <w:rPr>
                <w:rFonts w:ascii="Calibri" w:hAnsi="Calibri" w:eastAsia="Calibri"/>
                <w:sz w:val="22"/>
                <w:szCs w:val="22"/>
              </w:rPr>
            </w:pPr>
            <w:r>
              <w:rPr>
                <w:rFonts w:ascii="Calibri" w:hAnsi="Calibri" w:eastAsia="Calibri"/>
                <w:sz w:val="22"/>
                <w:szCs w:val="22"/>
              </w:rPr>
              <w:t>Veludo alemão – 1,40 larg cor vermelho</w:t>
            </w:r>
          </w:p>
        </w:tc>
        <w:tc>
          <w:tcPr>
            <w:tcW w:w="709" w:type="dxa"/>
          </w:tcPr>
          <w:p w14:paraId="46B279EE">
            <w:pPr>
              <w:rPr>
                <w:rFonts w:ascii="Calibri" w:hAnsi="Calibri" w:eastAsia="Calibri"/>
                <w:sz w:val="22"/>
                <w:szCs w:val="22"/>
              </w:rPr>
            </w:pPr>
            <w:r>
              <w:rPr>
                <w:rFonts w:ascii="Calibri" w:hAnsi="Calibri" w:eastAsia="Calibri"/>
                <w:sz w:val="22"/>
                <w:szCs w:val="22"/>
              </w:rPr>
              <w:t>MT</w:t>
            </w:r>
          </w:p>
        </w:tc>
        <w:tc>
          <w:tcPr>
            <w:tcW w:w="567" w:type="dxa"/>
          </w:tcPr>
          <w:p w14:paraId="1A9A5181">
            <w:pPr>
              <w:rPr>
                <w:rFonts w:ascii="Calibri" w:hAnsi="Calibri" w:eastAsia="Calibri"/>
                <w:sz w:val="22"/>
                <w:szCs w:val="22"/>
              </w:rPr>
            </w:pPr>
            <w:r>
              <w:rPr>
                <w:rFonts w:ascii="Calibri" w:hAnsi="Calibri" w:eastAsia="Calibri"/>
                <w:sz w:val="22"/>
                <w:szCs w:val="22"/>
              </w:rPr>
              <w:t>84</w:t>
            </w:r>
          </w:p>
        </w:tc>
        <w:tc>
          <w:tcPr>
            <w:tcW w:w="1134" w:type="dxa"/>
          </w:tcPr>
          <w:p w14:paraId="0A3A80CD">
            <w:pPr>
              <w:rPr>
                <w:rFonts w:ascii="Calibri" w:hAnsi="Calibri" w:eastAsia="Calibri"/>
                <w:sz w:val="22"/>
                <w:szCs w:val="22"/>
              </w:rPr>
            </w:pPr>
            <w:r>
              <w:rPr>
                <w:rFonts w:ascii="Calibri" w:hAnsi="Calibri" w:eastAsia="Calibri"/>
                <w:sz w:val="22"/>
                <w:szCs w:val="22"/>
              </w:rPr>
              <w:t>35,27</w:t>
            </w:r>
          </w:p>
        </w:tc>
      </w:tr>
      <w:tr w14:paraId="285D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DB54CE7">
            <w:pPr>
              <w:rPr>
                <w:rFonts w:ascii="Calibri" w:hAnsi="Calibri" w:eastAsia="Calibri"/>
                <w:sz w:val="22"/>
                <w:szCs w:val="22"/>
              </w:rPr>
            </w:pPr>
            <w:r>
              <w:rPr>
                <w:rFonts w:ascii="Calibri" w:hAnsi="Calibri" w:eastAsia="Calibri"/>
                <w:sz w:val="22"/>
                <w:szCs w:val="22"/>
              </w:rPr>
              <w:t>Pelúcia lisa- 1,40 larg cor branca</w:t>
            </w:r>
          </w:p>
        </w:tc>
        <w:tc>
          <w:tcPr>
            <w:tcW w:w="709" w:type="dxa"/>
          </w:tcPr>
          <w:p w14:paraId="3D8B43BC">
            <w:pPr>
              <w:rPr>
                <w:rFonts w:ascii="Calibri" w:hAnsi="Calibri" w:eastAsia="Calibri"/>
                <w:sz w:val="22"/>
                <w:szCs w:val="22"/>
              </w:rPr>
            </w:pPr>
            <w:r>
              <w:rPr>
                <w:rFonts w:ascii="Calibri" w:hAnsi="Calibri" w:eastAsia="Calibri"/>
                <w:sz w:val="22"/>
                <w:szCs w:val="22"/>
              </w:rPr>
              <w:t>MT</w:t>
            </w:r>
          </w:p>
        </w:tc>
        <w:tc>
          <w:tcPr>
            <w:tcW w:w="567" w:type="dxa"/>
          </w:tcPr>
          <w:p w14:paraId="007749ED">
            <w:pPr>
              <w:rPr>
                <w:rFonts w:ascii="Calibri" w:hAnsi="Calibri" w:eastAsia="Calibri"/>
                <w:sz w:val="22"/>
                <w:szCs w:val="22"/>
              </w:rPr>
            </w:pPr>
            <w:r>
              <w:rPr>
                <w:rFonts w:ascii="Calibri" w:hAnsi="Calibri" w:eastAsia="Calibri"/>
                <w:sz w:val="22"/>
                <w:szCs w:val="22"/>
              </w:rPr>
              <w:t>12</w:t>
            </w:r>
          </w:p>
        </w:tc>
        <w:tc>
          <w:tcPr>
            <w:tcW w:w="1134" w:type="dxa"/>
          </w:tcPr>
          <w:p w14:paraId="44013A4F">
            <w:pPr>
              <w:rPr>
                <w:rFonts w:ascii="Calibri" w:hAnsi="Calibri" w:eastAsia="Calibri"/>
                <w:sz w:val="22"/>
                <w:szCs w:val="22"/>
              </w:rPr>
            </w:pPr>
            <w:r>
              <w:rPr>
                <w:rFonts w:ascii="Calibri" w:hAnsi="Calibri" w:eastAsia="Calibri"/>
                <w:sz w:val="22"/>
                <w:szCs w:val="22"/>
              </w:rPr>
              <w:t>60,63</w:t>
            </w:r>
          </w:p>
        </w:tc>
      </w:tr>
      <w:tr w14:paraId="27FF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6428D7D4">
            <w:pPr>
              <w:rPr>
                <w:rFonts w:ascii="Calibri" w:hAnsi="Calibri" w:eastAsia="Calibri"/>
                <w:sz w:val="22"/>
                <w:szCs w:val="22"/>
              </w:rPr>
            </w:pPr>
            <w:r>
              <w:rPr>
                <w:rFonts w:ascii="Calibri" w:hAnsi="Calibri" w:eastAsia="Calibri"/>
                <w:sz w:val="22"/>
                <w:szCs w:val="22"/>
              </w:rPr>
              <w:t>TOTAL</w:t>
            </w:r>
          </w:p>
        </w:tc>
        <w:tc>
          <w:tcPr>
            <w:tcW w:w="709" w:type="dxa"/>
          </w:tcPr>
          <w:p w14:paraId="6F46CC6D">
            <w:pPr>
              <w:rPr>
                <w:rFonts w:ascii="Calibri" w:hAnsi="Calibri" w:eastAsia="Calibri"/>
                <w:sz w:val="22"/>
                <w:szCs w:val="22"/>
              </w:rPr>
            </w:pPr>
          </w:p>
        </w:tc>
        <w:tc>
          <w:tcPr>
            <w:tcW w:w="567" w:type="dxa"/>
          </w:tcPr>
          <w:p w14:paraId="46E8868B">
            <w:pPr>
              <w:rPr>
                <w:rFonts w:ascii="Calibri" w:hAnsi="Calibri" w:eastAsia="Calibri"/>
                <w:sz w:val="22"/>
                <w:szCs w:val="22"/>
              </w:rPr>
            </w:pPr>
          </w:p>
        </w:tc>
        <w:tc>
          <w:tcPr>
            <w:tcW w:w="1134" w:type="dxa"/>
          </w:tcPr>
          <w:p w14:paraId="2E1C6E96">
            <w:pPr>
              <w:rPr>
                <w:rFonts w:ascii="Calibri" w:hAnsi="Calibri" w:eastAsia="Calibri"/>
                <w:sz w:val="22"/>
                <w:szCs w:val="22"/>
              </w:rPr>
            </w:pPr>
            <w:r>
              <w:rPr>
                <w:rFonts w:ascii="Calibri" w:hAnsi="Calibri" w:eastAsia="Calibri"/>
                <w:sz w:val="22"/>
                <w:szCs w:val="22"/>
              </w:rPr>
              <w:t>7.223,70</w:t>
            </w:r>
          </w:p>
        </w:tc>
      </w:tr>
    </w:tbl>
    <w:p w14:paraId="22B00740">
      <w:pPr>
        <w:rPr>
          <w:rFonts w:asciiTheme="majorHAnsi" w:hAnsiTheme="majorHAnsi" w:cstheme="majorHAnsi"/>
          <w:sz w:val="22"/>
          <w:szCs w:val="22"/>
        </w:rPr>
      </w:pPr>
    </w:p>
    <w:p w14:paraId="46D7DDE8">
      <w:pPr>
        <w:rPr>
          <w:rFonts w:asciiTheme="majorHAnsi" w:hAnsiTheme="majorHAnsi" w:cstheme="majorHAnsi"/>
          <w:sz w:val="22"/>
          <w:szCs w:val="22"/>
        </w:rPr>
      </w:pPr>
    </w:p>
    <w:p w14:paraId="59025B08">
      <w:pPr>
        <w:rPr>
          <w:rFonts w:asciiTheme="majorHAnsi" w:hAnsiTheme="majorHAnsi" w:cstheme="majorHAnsi"/>
          <w:sz w:val="22"/>
          <w:szCs w:val="22"/>
        </w:rPr>
      </w:pPr>
      <w:r>
        <w:t>TOTAL R$- SETE MIL, DUZENTOS E VINTE E TRÊS REAIS E SETENTA CENTAVOS.</w:t>
      </w:r>
    </w:p>
    <w:p w14:paraId="06E6E24F">
      <w:pPr>
        <w:pStyle w:val="19"/>
        <w:jc w:val="both"/>
        <w:rPr>
          <w:rFonts w:asciiTheme="majorHAnsi" w:hAnsiTheme="majorHAnsi"/>
        </w:rPr>
      </w:pPr>
    </w:p>
    <w:p w14:paraId="68605516">
      <w:pPr>
        <w:jc w:val="both"/>
        <w:rPr>
          <w:rFonts w:asciiTheme="majorHAnsi" w:hAnsiTheme="majorHAnsi"/>
          <w:sz w:val="22"/>
          <w:szCs w:val="22"/>
        </w:rPr>
      </w:pPr>
      <w:r>
        <w:rPr>
          <w:rFonts w:asciiTheme="majorHAnsi" w:hAnsiTheme="majorHAnsi"/>
          <w:sz w:val="22"/>
          <w:szCs w:val="22"/>
        </w:rPr>
        <w:t xml:space="preserve">4.1 ESPECIFICAÇÕES: </w:t>
      </w:r>
    </w:p>
    <w:p w14:paraId="74C5E6DC">
      <w:pPr>
        <w:jc w:val="both"/>
        <w:rPr>
          <w:rFonts w:asciiTheme="majorHAnsi" w:hAnsiTheme="majorHAnsi"/>
          <w:sz w:val="22"/>
          <w:szCs w:val="22"/>
        </w:rPr>
      </w:pPr>
      <w:r>
        <w:rPr>
          <w:rFonts w:asciiTheme="majorHAnsi" w:hAnsiTheme="majorHAnsi"/>
          <w:sz w:val="22"/>
          <w:szCs w:val="22"/>
        </w:rPr>
        <w:t>Os materiais deverão ser entregues até a data prevista pelo contratante, para a confecção dos figurinos.</w:t>
      </w:r>
    </w:p>
    <w:p w14:paraId="529B094C">
      <w:pPr>
        <w:jc w:val="both"/>
        <w:rPr>
          <w:rFonts w:asciiTheme="majorHAnsi" w:hAnsiTheme="majorHAnsi"/>
          <w:sz w:val="22"/>
          <w:szCs w:val="22"/>
        </w:rPr>
      </w:pPr>
    </w:p>
    <w:p w14:paraId="7AA7BEE1">
      <w:pPr>
        <w:jc w:val="both"/>
        <w:rPr>
          <w:rFonts w:asciiTheme="majorHAnsi" w:hAnsiTheme="majorHAnsi"/>
          <w:sz w:val="22"/>
          <w:szCs w:val="22"/>
        </w:rPr>
      </w:pPr>
      <w:r>
        <w:rPr>
          <w:rFonts w:asciiTheme="majorHAnsi" w:hAnsiTheme="majorHAnsi"/>
          <w:sz w:val="22"/>
          <w:szCs w:val="22"/>
        </w:rPr>
        <w:t>a) Os itens solicitados deverão ser entregues em até 03 (três) dias úteis depois de emitido o pedido ou ordem de serviço pela prefeitura municipal;</w:t>
      </w:r>
    </w:p>
    <w:p w14:paraId="329C22F5">
      <w:pPr>
        <w:jc w:val="both"/>
        <w:rPr>
          <w:rFonts w:asciiTheme="majorHAnsi" w:hAnsiTheme="majorHAnsi"/>
          <w:sz w:val="22"/>
          <w:szCs w:val="22"/>
        </w:rPr>
      </w:pPr>
      <w:r>
        <w:rPr>
          <w:rFonts w:asciiTheme="majorHAnsi" w:hAnsiTheme="majorHAnsi"/>
          <w:sz w:val="22"/>
          <w:szCs w:val="22"/>
        </w:rPr>
        <w:t xml:space="preserve">b) Os itens em desacordo com o termo de referencia não serão aceitos, devendo ser substituído pelos solicitados em até 05 (cinco) dias. </w:t>
      </w:r>
    </w:p>
    <w:p w14:paraId="111B3E76">
      <w:pPr>
        <w:jc w:val="both"/>
        <w:rPr>
          <w:rFonts w:asciiTheme="majorHAnsi" w:hAnsiTheme="majorHAnsi"/>
          <w:sz w:val="22"/>
          <w:szCs w:val="22"/>
        </w:rPr>
      </w:pPr>
    </w:p>
    <w:p w14:paraId="1559A3BB">
      <w:pPr>
        <w:pStyle w:val="19"/>
        <w:jc w:val="both"/>
        <w:rPr>
          <w:rFonts w:asciiTheme="majorHAnsi" w:hAnsiTheme="majorHAnsi"/>
          <w:b/>
          <w:bCs/>
        </w:rPr>
      </w:pPr>
      <w:r>
        <w:rPr>
          <w:rFonts w:asciiTheme="majorHAnsi" w:hAnsiTheme="majorHAnsi"/>
          <w:b/>
          <w:bCs/>
        </w:rPr>
        <w:t>5. OBRIGAÇÕES DA CONTRATANTE</w:t>
      </w:r>
    </w:p>
    <w:p w14:paraId="2AEAEC84">
      <w:pPr>
        <w:pStyle w:val="19"/>
        <w:jc w:val="both"/>
        <w:rPr>
          <w:rFonts w:asciiTheme="majorHAnsi" w:hAnsiTheme="majorHAnsi" w:eastAsiaTheme="minorHAnsi"/>
          <w:color w:val="000000"/>
        </w:rPr>
      </w:pPr>
      <w:r>
        <w:rPr>
          <w:rFonts w:asciiTheme="majorHAnsi" w:hAnsiTheme="majorHAnsi" w:eastAsiaTheme="minorHAnsi"/>
          <w:color w:val="000000"/>
        </w:rPr>
        <w:t>a) Acompanhar, orientar e fiscalizar os serviços a serem prestados pela Contratada, objetivando a verificação do cumprimento das disposições contratuais.</w:t>
      </w:r>
    </w:p>
    <w:p w14:paraId="6590B2DD">
      <w:pPr>
        <w:pStyle w:val="19"/>
        <w:jc w:val="both"/>
        <w:rPr>
          <w:rFonts w:asciiTheme="majorHAnsi" w:hAnsiTheme="majorHAnsi" w:eastAsiaTheme="minorHAnsi"/>
          <w:color w:val="000000"/>
        </w:rPr>
      </w:pPr>
    </w:p>
    <w:p w14:paraId="3ABA538B">
      <w:pPr>
        <w:autoSpaceDE w:val="0"/>
        <w:autoSpaceDN w:val="0"/>
        <w:adjustRightInd w:val="0"/>
        <w:jc w:val="both"/>
        <w:rPr>
          <w:rFonts w:asciiTheme="majorHAnsi" w:hAnsiTheme="majorHAnsi" w:eastAsiaTheme="minorHAnsi"/>
          <w:bCs/>
          <w:color w:val="000000"/>
          <w:sz w:val="22"/>
          <w:szCs w:val="22"/>
        </w:rPr>
      </w:pPr>
      <w:r>
        <w:rPr>
          <w:rFonts w:asciiTheme="majorHAnsi" w:hAnsiTheme="majorHAnsi" w:eastAsiaTheme="minorHAnsi"/>
          <w:bCs/>
          <w:color w:val="000000"/>
          <w:sz w:val="22"/>
          <w:szCs w:val="22"/>
        </w:rPr>
        <w:t xml:space="preserve">5.1. Oferecer todas as condições e informações necessárias para que a CONTRATADA possa executar os serviços dentro das especificações exigidas neste Termo de Referência; </w:t>
      </w:r>
    </w:p>
    <w:p w14:paraId="1923D3EA">
      <w:pPr>
        <w:autoSpaceDE w:val="0"/>
        <w:autoSpaceDN w:val="0"/>
        <w:adjustRightInd w:val="0"/>
        <w:jc w:val="both"/>
        <w:rPr>
          <w:rFonts w:asciiTheme="majorHAnsi" w:hAnsiTheme="majorHAnsi" w:eastAsiaTheme="minorHAnsi"/>
          <w:bCs/>
          <w:color w:val="000000"/>
          <w:sz w:val="22"/>
          <w:szCs w:val="22"/>
        </w:rPr>
      </w:pPr>
    </w:p>
    <w:p w14:paraId="0E857860">
      <w:pPr>
        <w:autoSpaceDE w:val="0"/>
        <w:autoSpaceDN w:val="0"/>
        <w:adjustRightInd w:val="0"/>
        <w:jc w:val="both"/>
        <w:rPr>
          <w:rFonts w:asciiTheme="majorHAnsi" w:hAnsiTheme="majorHAnsi" w:eastAsiaTheme="minorHAnsi"/>
          <w:bCs/>
          <w:color w:val="000000"/>
          <w:sz w:val="22"/>
          <w:szCs w:val="22"/>
        </w:rPr>
      </w:pPr>
      <w:r>
        <w:rPr>
          <w:rFonts w:asciiTheme="majorHAnsi" w:hAnsiTheme="majorHAnsi" w:eastAsiaTheme="minorHAnsi"/>
          <w:bCs/>
          <w:color w:val="000000"/>
          <w:sz w:val="22"/>
          <w:szCs w:val="22"/>
        </w:rPr>
        <w:t>5.2. Emitir nota de empenho a crédito do fornecedor no valor total correspondente ao material ou serviço solicitado, observados os procedimentos do Sistema de Registro de Preços;</w:t>
      </w:r>
    </w:p>
    <w:p w14:paraId="3167AF7A">
      <w:pPr>
        <w:autoSpaceDE w:val="0"/>
        <w:autoSpaceDN w:val="0"/>
        <w:adjustRightInd w:val="0"/>
        <w:jc w:val="both"/>
        <w:rPr>
          <w:rFonts w:asciiTheme="majorHAnsi" w:hAnsiTheme="majorHAnsi" w:eastAsiaTheme="minorHAnsi"/>
          <w:bCs/>
          <w:color w:val="000000"/>
          <w:sz w:val="22"/>
          <w:szCs w:val="22"/>
        </w:rPr>
      </w:pPr>
    </w:p>
    <w:p w14:paraId="71C3A26D">
      <w:pPr>
        <w:autoSpaceDE w:val="0"/>
        <w:autoSpaceDN w:val="0"/>
        <w:adjustRightInd w:val="0"/>
        <w:jc w:val="both"/>
        <w:rPr>
          <w:rFonts w:asciiTheme="majorHAnsi" w:hAnsiTheme="majorHAnsi" w:eastAsiaTheme="minorHAnsi"/>
          <w:bCs/>
          <w:color w:val="000000"/>
          <w:sz w:val="22"/>
          <w:szCs w:val="22"/>
        </w:rPr>
      </w:pPr>
      <w:r>
        <w:rPr>
          <w:rFonts w:asciiTheme="majorHAnsi" w:hAnsiTheme="majorHAnsi" w:eastAsiaTheme="minorHAnsi"/>
          <w:bCs/>
          <w:color w:val="000000"/>
          <w:sz w:val="22"/>
          <w:szCs w:val="22"/>
        </w:rPr>
        <w:t>5.3. Encaminhar a nota de empenho para a contratada;</w:t>
      </w:r>
    </w:p>
    <w:p w14:paraId="793B17E5">
      <w:pPr>
        <w:autoSpaceDE w:val="0"/>
        <w:autoSpaceDN w:val="0"/>
        <w:adjustRightInd w:val="0"/>
        <w:jc w:val="both"/>
        <w:rPr>
          <w:rFonts w:asciiTheme="majorHAnsi" w:hAnsiTheme="majorHAnsi" w:eastAsiaTheme="minorHAnsi"/>
          <w:bCs/>
          <w:color w:val="000000"/>
          <w:sz w:val="22"/>
          <w:szCs w:val="22"/>
        </w:rPr>
      </w:pPr>
    </w:p>
    <w:p w14:paraId="6B10A666">
      <w:pPr>
        <w:autoSpaceDE w:val="0"/>
        <w:autoSpaceDN w:val="0"/>
        <w:adjustRightInd w:val="0"/>
        <w:jc w:val="both"/>
        <w:rPr>
          <w:rFonts w:asciiTheme="majorHAnsi" w:hAnsiTheme="majorHAnsi" w:eastAsiaTheme="minorHAnsi"/>
          <w:bCs/>
          <w:color w:val="000000"/>
          <w:sz w:val="22"/>
          <w:szCs w:val="22"/>
        </w:rPr>
      </w:pPr>
      <w:r>
        <w:rPr>
          <w:rFonts w:asciiTheme="majorHAnsi" w:hAnsiTheme="majorHAnsi" w:eastAsiaTheme="minorHAnsi"/>
          <w:bCs/>
          <w:color w:val="000000"/>
          <w:sz w:val="22"/>
          <w:szCs w:val="22"/>
        </w:rPr>
        <w:t>5.4. Prestar as informações e os esclarecimentos que venham a ser solicitados pela CONTRATADA, proporcionando todas as condições para que a mesma possa cumprir suas obrigações dentro dos prazos estabelecidos;</w:t>
      </w:r>
    </w:p>
    <w:p w14:paraId="78CC7AC8">
      <w:pPr>
        <w:autoSpaceDE w:val="0"/>
        <w:autoSpaceDN w:val="0"/>
        <w:adjustRightInd w:val="0"/>
        <w:jc w:val="both"/>
        <w:rPr>
          <w:rFonts w:asciiTheme="majorHAnsi" w:hAnsiTheme="majorHAnsi" w:eastAsiaTheme="minorHAnsi"/>
          <w:b/>
          <w:bCs/>
          <w:color w:val="000000"/>
          <w:sz w:val="22"/>
          <w:szCs w:val="22"/>
        </w:rPr>
      </w:pPr>
    </w:p>
    <w:p w14:paraId="578F41DE">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5.5. Acompanhar e fiscalizar o objeto do contrato por meio de um representante da Administração especialmente designado para tanto;</w:t>
      </w:r>
    </w:p>
    <w:p w14:paraId="71BF0D28">
      <w:pPr>
        <w:autoSpaceDE w:val="0"/>
        <w:autoSpaceDN w:val="0"/>
        <w:adjustRightInd w:val="0"/>
        <w:jc w:val="both"/>
        <w:rPr>
          <w:rFonts w:asciiTheme="majorHAnsi" w:hAnsiTheme="majorHAnsi" w:eastAsiaTheme="minorHAnsi"/>
          <w:color w:val="000000"/>
          <w:sz w:val="22"/>
          <w:szCs w:val="22"/>
        </w:rPr>
      </w:pPr>
    </w:p>
    <w:p w14:paraId="54BFFC99">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5.6. Notificar, por escrito, a CONTRATADA na ocorrência de eventuais falhas no curso de execução do contrato, aplicando, se for o caso, as penalidades previstas neste Termo de Referência;</w:t>
      </w:r>
    </w:p>
    <w:p w14:paraId="644A6374">
      <w:pPr>
        <w:autoSpaceDE w:val="0"/>
        <w:autoSpaceDN w:val="0"/>
        <w:adjustRightInd w:val="0"/>
        <w:jc w:val="both"/>
        <w:rPr>
          <w:rFonts w:asciiTheme="majorHAnsi" w:hAnsiTheme="majorHAnsi" w:eastAsiaTheme="minorHAnsi"/>
          <w:color w:val="000000"/>
          <w:sz w:val="22"/>
          <w:szCs w:val="22"/>
        </w:rPr>
      </w:pPr>
    </w:p>
    <w:p w14:paraId="14D64C3C">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5.7. Pagar a fatura ou nota fiscal devidamente atestada, no prazo e forma previstos neste Termo de Referência.</w:t>
      </w:r>
    </w:p>
    <w:p w14:paraId="7C374D45">
      <w:pPr>
        <w:autoSpaceDE w:val="0"/>
        <w:autoSpaceDN w:val="0"/>
        <w:adjustRightInd w:val="0"/>
        <w:jc w:val="both"/>
        <w:rPr>
          <w:rFonts w:asciiTheme="majorHAnsi" w:hAnsiTheme="majorHAnsi" w:eastAsiaTheme="minorHAnsi"/>
          <w:color w:val="000000"/>
          <w:sz w:val="22"/>
          <w:szCs w:val="22"/>
        </w:rPr>
      </w:pPr>
    </w:p>
    <w:p w14:paraId="709C4819">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5.8. A Administração terá a opção de extinguir o contrato, sem ônus, quando não dispuser de créditos orçamentários para sua continuidade ou quando entender que o contrato não mais lhe oferece vantagem</w:t>
      </w:r>
      <w:r>
        <w:rPr>
          <w:rFonts w:asciiTheme="majorHAnsi" w:hAnsiTheme="majorHAnsi" w:eastAsiaTheme="minorHAnsi"/>
          <w:color w:val="000000"/>
          <w:sz w:val="22"/>
          <w:szCs w:val="22"/>
          <w:highlight w:val="yellow"/>
        </w:rPr>
        <w:t>.</w:t>
      </w:r>
    </w:p>
    <w:p w14:paraId="00D25201">
      <w:pPr>
        <w:pStyle w:val="19"/>
        <w:jc w:val="both"/>
        <w:rPr>
          <w:rFonts w:asciiTheme="majorHAnsi" w:hAnsiTheme="majorHAnsi"/>
        </w:rPr>
      </w:pPr>
    </w:p>
    <w:p w14:paraId="021594C4">
      <w:pPr>
        <w:pStyle w:val="19"/>
        <w:jc w:val="both"/>
        <w:rPr>
          <w:rFonts w:asciiTheme="majorHAnsi" w:hAnsiTheme="majorHAnsi"/>
          <w:b/>
          <w:bCs/>
        </w:rPr>
      </w:pPr>
      <w:r>
        <w:rPr>
          <w:rFonts w:asciiTheme="majorHAnsi" w:hAnsiTheme="majorHAnsi"/>
          <w:b/>
          <w:bCs/>
        </w:rPr>
        <w:t>6. OBRIGAÇÕES DA CONTRATADA</w:t>
      </w:r>
    </w:p>
    <w:p w14:paraId="338D5731">
      <w:pPr>
        <w:pStyle w:val="19"/>
        <w:jc w:val="both"/>
        <w:rPr>
          <w:rFonts w:asciiTheme="majorHAnsi" w:hAnsiTheme="majorHAnsi"/>
          <w:b/>
          <w:bCs/>
        </w:rPr>
      </w:pPr>
    </w:p>
    <w:p w14:paraId="01806340">
      <w:pPr>
        <w:pStyle w:val="19"/>
        <w:jc w:val="both"/>
        <w:rPr>
          <w:rFonts w:asciiTheme="majorHAnsi" w:hAnsiTheme="majorHAnsi"/>
          <w:b/>
          <w:bCs/>
        </w:rPr>
      </w:pPr>
      <w:r>
        <w:rPr>
          <w:rFonts w:asciiTheme="majorHAnsi" w:hAnsiTheme="majorHAnsi" w:eastAsiaTheme="minorHAnsi"/>
          <w:color w:val="000000"/>
        </w:rPr>
        <w:t xml:space="preserve">a) Realizar o serviço de acordo com as condições estabelecidas na cláusula primeira; </w:t>
      </w:r>
    </w:p>
    <w:p w14:paraId="7D021693">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 xml:space="preserve">b) Manter, durante toda a execução do contrato, as obrigações assumidas, bem como a regularidade fiscal, trabalhista e previdenciária perante as fazendas públicas; </w:t>
      </w:r>
    </w:p>
    <w:p w14:paraId="542906A7">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 xml:space="preserve">c) Não transferir a terceiros ou subcontratar o objeto deste contrato, no todo ou em parte, sem prévia e expressa autorização do Município; </w:t>
      </w:r>
    </w:p>
    <w:p w14:paraId="185B2BC5">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 xml:space="preserve">d) Respeitar os prazos ajustados; </w:t>
      </w:r>
    </w:p>
    <w:p w14:paraId="068F3C5C">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 xml:space="preserve">e) Efetuar o recolhimento das taxas referentes aos encargos trabalhistas, previdenciários, fiscais, tributários e outros, decorrentes dos serviços prestados ao contratante, responder exclusivamente pelos seus funcionários e prepostos. </w:t>
      </w:r>
    </w:p>
    <w:p w14:paraId="400B56AF">
      <w:pPr>
        <w:pStyle w:val="19"/>
        <w:jc w:val="both"/>
        <w:rPr>
          <w:rFonts w:asciiTheme="majorHAnsi" w:hAnsiTheme="majorHAnsi"/>
        </w:rPr>
      </w:pPr>
    </w:p>
    <w:p w14:paraId="1D53FA38">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6.1. Fornecer os produtos conforme especificações da proposta, com os recursos necessários ao perfeito cumprimento das cláusulas contratuais;</w:t>
      </w:r>
    </w:p>
    <w:p w14:paraId="39B2F0CA">
      <w:pPr>
        <w:autoSpaceDE w:val="0"/>
        <w:autoSpaceDN w:val="0"/>
        <w:adjustRightInd w:val="0"/>
        <w:jc w:val="both"/>
        <w:rPr>
          <w:rFonts w:asciiTheme="majorHAnsi" w:hAnsiTheme="majorHAnsi" w:eastAsiaTheme="minorHAnsi"/>
          <w:color w:val="000000"/>
          <w:sz w:val="22"/>
          <w:szCs w:val="22"/>
        </w:rPr>
      </w:pPr>
    </w:p>
    <w:p w14:paraId="20CC42F0">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6.2. Responsabilizar-se por todas as despesas diretas ou indiretas dos valores devidos aos seus empregados no cumprimento das obrigações contraídas nesta licitação;</w:t>
      </w:r>
    </w:p>
    <w:p w14:paraId="5730A496">
      <w:pPr>
        <w:autoSpaceDE w:val="0"/>
        <w:autoSpaceDN w:val="0"/>
        <w:adjustRightInd w:val="0"/>
        <w:jc w:val="both"/>
        <w:rPr>
          <w:rFonts w:asciiTheme="majorHAnsi" w:hAnsiTheme="majorHAnsi" w:eastAsiaTheme="minorHAnsi"/>
          <w:color w:val="000000"/>
          <w:sz w:val="22"/>
          <w:szCs w:val="22"/>
        </w:rPr>
      </w:pPr>
    </w:p>
    <w:p w14:paraId="0026FF90">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6.3. Ressarcir os eventuais prejuízos causados ao Município de Rifaina e/ou a terceiros, provocados por ineficiência ou irregularidades cometidas na execução das obrigações assumidas.</w:t>
      </w:r>
    </w:p>
    <w:p w14:paraId="7326EE75">
      <w:pPr>
        <w:autoSpaceDE w:val="0"/>
        <w:autoSpaceDN w:val="0"/>
        <w:adjustRightInd w:val="0"/>
        <w:jc w:val="both"/>
        <w:rPr>
          <w:rFonts w:asciiTheme="majorHAnsi" w:hAnsiTheme="majorHAnsi" w:eastAsiaTheme="minorHAnsi"/>
          <w:color w:val="000000"/>
          <w:sz w:val="22"/>
          <w:szCs w:val="22"/>
        </w:rPr>
      </w:pPr>
    </w:p>
    <w:p w14:paraId="3796F2B8">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6.4. Manter durante a execução do contrato, em compatibilidade com as obrigações assumidas, todas as condições de habilitação e qualificação exigidas na contratação.</w:t>
      </w:r>
    </w:p>
    <w:p w14:paraId="34EA5A94">
      <w:pPr>
        <w:autoSpaceDE w:val="0"/>
        <w:autoSpaceDN w:val="0"/>
        <w:adjustRightInd w:val="0"/>
        <w:jc w:val="both"/>
        <w:rPr>
          <w:rFonts w:asciiTheme="majorHAnsi" w:hAnsiTheme="majorHAnsi" w:eastAsiaTheme="minorHAnsi"/>
          <w:color w:val="000000"/>
          <w:sz w:val="22"/>
          <w:szCs w:val="22"/>
        </w:rPr>
      </w:pPr>
    </w:p>
    <w:p w14:paraId="1DA1C286">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61B05197">
      <w:pPr>
        <w:autoSpaceDE w:val="0"/>
        <w:autoSpaceDN w:val="0"/>
        <w:adjustRightInd w:val="0"/>
        <w:jc w:val="both"/>
        <w:rPr>
          <w:rFonts w:asciiTheme="majorHAnsi" w:hAnsiTheme="majorHAnsi" w:eastAsiaTheme="minorHAnsi"/>
          <w:color w:val="000000"/>
          <w:sz w:val="22"/>
          <w:szCs w:val="22"/>
        </w:rPr>
      </w:pPr>
    </w:p>
    <w:p w14:paraId="4436EF90">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6.6. Não transferir a terceiros, por qualquer forma, nem mesmo parcialmente, as obrigações assumidas, nem subcontratar qualquer das prestações a que está obrigada, exceto nas condições autorizadas no Termo de Referência ou na minuta de contrato;</w:t>
      </w:r>
    </w:p>
    <w:p w14:paraId="0A913BC3">
      <w:pPr>
        <w:autoSpaceDE w:val="0"/>
        <w:autoSpaceDN w:val="0"/>
        <w:adjustRightInd w:val="0"/>
        <w:jc w:val="both"/>
        <w:rPr>
          <w:rFonts w:asciiTheme="majorHAnsi" w:hAnsiTheme="majorHAnsi" w:eastAsiaTheme="minorHAnsi"/>
          <w:color w:val="000000"/>
          <w:sz w:val="22"/>
          <w:szCs w:val="22"/>
        </w:rPr>
      </w:pPr>
    </w:p>
    <w:p w14:paraId="00AE5028">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6.7. Responsabilizar-se pelas despesas dos tributos, encargos trabalhistas, previdenciários, fiscais, comerciais, taxas, fretes, seguros, deslocamento de pessoal, prestação de garantia e quaisquer outras que incidam ou venham a incidir na execução do contrato;</w:t>
      </w:r>
    </w:p>
    <w:p w14:paraId="3A45B75E">
      <w:pPr>
        <w:autoSpaceDE w:val="0"/>
        <w:autoSpaceDN w:val="0"/>
        <w:adjustRightInd w:val="0"/>
        <w:jc w:val="both"/>
        <w:rPr>
          <w:rFonts w:asciiTheme="majorHAnsi" w:hAnsiTheme="majorHAnsi" w:eastAsiaTheme="minorHAnsi"/>
          <w:color w:val="000000"/>
          <w:sz w:val="22"/>
          <w:szCs w:val="22"/>
        </w:rPr>
      </w:pPr>
    </w:p>
    <w:p w14:paraId="1F986AC4">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6.8. Submeter-se-á a todas as normas e condições do Termo de Referência e seus anexos, que integram este contrato, independente da transcrição.</w:t>
      </w:r>
    </w:p>
    <w:p w14:paraId="3544A96F">
      <w:pPr>
        <w:autoSpaceDE w:val="0"/>
        <w:autoSpaceDN w:val="0"/>
        <w:adjustRightInd w:val="0"/>
        <w:jc w:val="both"/>
        <w:rPr>
          <w:rFonts w:asciiTheme="majorHAnsi" w:hAnsiTheme="majorHAnsi" w:eastAsiaTheme="minorHAnsi"/>
          <w:color w:val="000000"/>
          <w:sz w:val="22"/>
          <w:szCs w:val="22"/>
          <w:highlight w:val="yellow"/>
        </w:rPr>
      </w:pPr>
    </w:p>
    <w:p w14:paraId="2624E510">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6.9. Reparar, corrigir, remover, reconstruir ou substituir, às suas expensas, no total ou em parte, os serviços efetuados em que se verificarem vícios, defeitos ou incorreções resultantes da execução ou dos materiais empregados, a critério da Administração;</w:t>
      </w:r>
    </w:p>
    <w:p w14:paraId="4E94991E">
      <w:pPr>
        <w:autoSpaceDE w:val="0"/>
        <w:autoSpaceDN w:val="0"/>
        <w:adjustRightInd w:val="0"/>
        <w:jc w:val="both"/>
        <w:rPr>
          <w:rFonts w:asciiTheme="majorHAnsi" w:hAnsiTheme="majorHAnsi" w:eastAsiaTheme="minorHAnsi"/>
          <w:color w:val="000000"/>
          <w:sz w:val="22"/>
          <w:szCs w:val="22"/>
          <w:highlight w:val="yellow"/>
        </w:rPr>
      </w:pPr>
    </w:p>
    <w:p w14:paraId="39A8DB2A">
      <w:pPr>
        <w:autoSpaceDE w:val="0"/>
        <w:autoSpaceDN w:val="0"/>
        <w:adjustRightInd w:val="0"/>
        <w:jc w:val="both"/>
        <w:rPr>
          <w:rFonts w:asciiTheme="majorHAnsi" w:hAnsiTheme="majorHAnsi" w:eastAsiaTheme="minorHAnsi"/>
          <w:color w:val="000000"/>
          <w:sz w:val="22"/>
          <w:szCs w:val="22"/>
        </w:rPr>
      </w:pPr>
      <w:r>
        <w:rPr>
          <w:rFonts w:asciiTheme="majorHAnsi" w:hAnsiTheme="majorHAnsi" w:eastAsiaTheme="minorHAnsi"/>
          <w:color w:val="000000"/>
          <w:sz w:val="22"/>
          <w:szCs w:val="22"/>
        </w:rPr>
        <w:t>6.10. Utilizar empregados habilitados e com conhecimentos técnicos dos serviços a serem executados, de conformidade com as normas e determinações em vigor;</w:t>
      </w:r>
    </w:p>
    <w:p w14:paraId="3686E6FC">
      <w:pPr>
        <w:pStyle w:val="19"/>
        <w:jc w:val="both"/>
        <w:rPr>
          <w:rFonts w:asciiTheme="majorHAnsi" w:hAnsiTheme="majorHAnsi"/>
        </w:rPr>
      </w:pPr>
    </w:p>
    <w:p w14:paraId="0E09596F">
      <w:pPr>
        <w:pStyle w:val="19"/>
        <w:jc w:val="both"/>
        <w:rPr>
          <w:rFonts w:asciiTheme="majorHAnsi" w:hAnsiTheme="majorHAnsi"/>
          <w:b/>
          <w:bCs/>
        </w:rPr>
      </w:pPr>
      <w:r>
        <w:rPr>
          <w:rFonts w:asciiTheme="majorHAnsi" w:hAnsiTheme="majorHAnsi"/>
          <w:b/>
          <w:bCs/>
        </w:rPr>
        <w:t>7. FORMA E PRAZO DE PAGAMENTO</w:t>
      </w:r>
    </w:p>
    <w:p w14:paraId="2E59BA44">
      <w:pPr>
        <w:pStyle w:val="19"/>
        <w:jc w:val="both"/>
        <w:rPr>
          <w:rFonts w:asciiTheme="majorHAnsi" w:hAnsiTheme="majorHAnsi"/>
        </w:rPr>
      </w:pPr>
      <w:r>
        <w:rPr>
          <w:rFonts w:asciiTheme="majorHAnsi" w:hAnsiTheme="majorHAnsi"/>
        </w:rPr>
        <w:t>a. O pagamento será realizado 10 dias úteis após realização do evento e sendo confirmado a quantidade total de trajes locados não podendo ser superior a 20 unidades, contados a partir do recebimento da Nota Fiscal ou Fatura, através de ordem bancária, para crédito em banco, agência e conta corrente indicados pelo contratado.</w:t>
      </w:r>
    </w:p>
    <w:p w14:paraId="7A9747AC">
      <w:pPr>
        <w:pStyle w:val="19"/>
        <w:jc w:val="both"/>
        <w:rPr>
          <w:rFonts w:asciiTheme="majorHAnsi" w:hAnsiTheme="majorHAnsi"/>
        </w:rPr>
      </w:pPr>
      <w:r>
        <w:rPr>
          <w:rFonts w:asciiTheme="majorHAnsi" w:hAnsiTheme="majorHAnsi"/>
        </w:rPr>
        <w:t>b. A Nota Fiscal/Fatura liquidada, deverá, obrigatoriamente, conter o mesmo CNPJ/MF do vencedor da contratação e atestada pelo fiscal do contrato.</w:t>
      </w:r>
    </w:p>
    <w:p w14:paraId="5D08A8DF">
      <w:pPr>
        <w:pStyle w:val="19"/>
        <w:jc w:val="both"/>
        <w:rPr>
          <w:rFonts w:asciiTheme="majorHAnsi" w:hAnsiTheme="majorHAnsi"/>
        </w:rPr>
      </w:pPr>
    </w:p>
    <w:p w14:paraId="53A0D3F4">
      <w:pPr>
        <w:pStyle w:val="19"/>
        <w:jc w:val="both"/>
        <w:rPr>
          <w:rFonts w:asciiTheme="majorHAnsi" w:hAnsiTheme="majorHAnsi"/>
        </w:rPr>
      </w:pPr>
      <w:r>
        <w:rPr>
          <w:rFonts w:asciiTheme="majorHAnsi" w:hAnsiTheme="majorHAnsi"/>
        </w:rPr>
        <w:t>c. Considera-se ocorrido o recebimento da nota fiscal ou fatura no momento em que o órgão contratante atestar a execução do objeto do contrato.</w:t>
      </w:r>
    </w:p>
    <w:p w14:paraId="233A5A08">
      <w:pPr>
        <w:pStyle w:val="19"/>
        <w:jc w:val="both"/>
        <w:rPr>
          <w:rFonts w:asciiTheme="majorHAnsi" w:hAnsiTheme="majorHAnsi"/>
        </w:rPr>
      </w:pPr>
      <w:r>
        <w:rPr>
          <w:rFonts w:asciiTheme="majorHAnsi" w:hAnsiTheme="majorHAnsi"/>
        </w:rPr>
        <w:t>d. Constatando-se alguma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6902321">
      <w:pPr>
        <w:pStyle w:val="19"/>
        <w:jc w:val="both"/>
        <w:rPr>
          <w:rFonts w:asciiTheme="majorHAnsi" w:hAnsiTheme="majorHAnsi"/>
        </w:rPr>
      </w:pPr>
      <w:r>
        <w:rPr>
          <w:rFonts w:asciiTheme="majorHAnsi" w:hAnsiTheme="majorHAnsi"/>
        </w:rPr>
        <w:t xml:space="preserve"> </w:t>
      </w:r>
    </w:p>
    <w:p w14:paraId="2816BC47">
      <w:pPr>
        <w:pStyle w:val="19"/>
        <w:jc w:val="both"/>
        <w:rPr>
          <w:rFonts w:asciiTheme="majorHAnsi" w:hAnsiTheme="majorHAnsi"/>
          <w:b/>
          <w:bCs/>
        </w:rPr>
      </w:pPr>
      <w:r>
        <w:rPr>
          <w:rFonts w:asciiTheme="majorHAnsi" w:hAnsiTheme="majorHAnsi"/>
          <w:b/>
          <w:bCs/>
        </w:rPr>
        <w:t xml:space="preserve">8. RECURSOS ORÇAMENTÁRIOS </w:t>
      </w:r>
    </w:p>
    <w:p w14:paraId="338076B3">
      <w:pPr>
        <w:ind w:left="-709" w:right="-852"/>
        <w:jc w:val="both"/>
        <w:rPr>
          <w:rFonts w:ascii="Arial" w:hAnsi="Arial" w:cs="Arial"/>
          <w:sz w:val="23"/>
          <w:szCs w:val="23"/>
        </w:rPr>
      </w:pPr>
      <w:r>
        <w:rPr>
          <w:rFonts w:ascii="Arial" w:hAnsi="Arial" w:cs="Arial"/>
          <w:sz w:val="23"/>
          <w:szCs w:val="23"/>
        </w:rPr>
        <w:t xml:space="preserve">           02 10 Secretaria Municipal de Cultura</w:t>
      </w:r>
    </w:p>
    <w:p w14:paraId="492F6190">
      <w:pPr>
        <w:ind w:left="-709" w:right="-852"/>
        <w:jc w:val="both"/>
        <w:rPr>
          <w:rFonts w:ascii="Arial" w:hAnsi="Arial" w:cs="Arial"/>
          <w:sz w:val="23"/>
          <w:szCs w:val="23"/>
        </w:rPr>
      </w:pPr>
      <w:r>
        <w:rPr>
          <w:rFonts w:ascii="Arial" w:hAnsi="Arial" w:cs="Arial"/>
          <w:sz w:val="23"/>
          <w:szCs w:val="23"/>
        </w:rPr>
        <w:t xml:space="preserve">           13 392 Difusão Cultural</w:t>
      </w:r>
    </w:p>
    <w:p w14:paraId="67BFE3E8">
      <w:pPr>
        <w:ind w:left="-709" w:right="-852"/>
        <w:jc w:val="both"/>
        <w:rPr>
          <w:rFonts w:ascii="Arial" w:hAnsi="Arial" w:cs="Arial"/>
          <w:sz w:val="23"/>
          <w:szCs w:val="23"/>
        </w:rPr>
      </w:pPr>
      <w:r>
        <w:rPr>
          <w:rFonts w:ascii="Arial" w:hAnsi="Arial" w:cs="Arial"/>
          <w:sz w:val="23"/>
          <w:szCs w:val="23"/>
        </w:rPr>
        <w:t xml:space="preserve">           13 392 0031 Promoção e Acesso a Cultura</w:t>
      </w:r>
    </w:p>
    <w:p w14:paraId="103FA08A">
      <w:pPr>
        <w:pStyle w:val="19"/>
        <w:jc w:val="both"/>
        <w:rPr>
          <w:rFonts w:asciiTheme="majorHAnsi" w:hAnsiTheme="majorHAnsi"/>
          <w:b/>
          <w:bCs/>
        </w:rPr>
      </w:pPr>
      <w:r>
        <w:rPr>
          <w:rFonts w:ascii="Arial" w:hAnsi="Arial" w:cs="Arial"/>
          <w:sz w:val="23"/>
          <w:szCs w:val="23"/>
        </w:rPr>
        <w:t>13 392 0031 2014 0000 Promoção Cultural</w:t>
      </w:r>
    </w:p>
    <w:p w14:paraId="27B1489E">
      <w:pPr>
        <w:pStyle w:val="19"/>
        <w:jc w:val="both"/>
        <w:rPr>
          <w:rFonts w:hint="default" w:ascii="Arial" w:hAnsi="Arial" w:cs="Arial"/>
          <w:sz w:val="23"/>
          <w:szCs w:val="23"/>
          <w:lang w:val="pt-BR"/>
        </w:rPr>
      </w:pPr>
      <w:r>
        <w:rPr>
          <w:rFonts w:ascii="Arial" w:hAnsi="Arial" w:cs="Arial" w:eastAsiaTheme="minorHAnsi"/>
          <w:sz w:val="23"/>
          <w:szCs w:val="23"/>
        </w:rPr>
        <w:t xml:space="preserve">3.3.90.39.00 </w:t>
      </w:r>
      <w:r>
        <w:rPr>
          <w:rFonts w:hint="default" w:ascii="Arial" w:hAnsi="Arial" w:cs="Arial" w:eastAsiaTheme="minorHAnsi"/>
          <w:sz w:val="23"/>
          <w:szCs w:val="23"/>
          <w:lang w:val="pt-BR"/>
        </w:rPr>
        <w:t>Material de consumo</w:t>
      </w:r>
      <w:bookmarkStart w:id="9" w:name="_GoBack"/>
      <w:bookmarkEnd w:id="9"/>
    </w:p>
    <w:p w14:paraId="573BAEC9">
      <w:pPr>
        <w:pStyle w:val="19"/>
        <w:jc w:val="both"/>
        <w:rPr>
          <w:rFonts w:ascii="Arial" w:hAnsi="Arial" w:cs="Arial" w:eastAsiaTheme="minorHAnsi"/>
          <w:sz w:val="23"/>
          <w:szCs w:val="23"/>
        </w:rPr>
      </w:pPr>
    </w:p>
    <w:p w14:paraId="56C24546">
      <w:pPr>
        <w:pStyle w:val="19"/>
        <w:jc w:val="both"/>
        <w:rPr>
          <w:rFonts w:ascii="Arial" w:hAnsi="Arial" w:cs="Arial" w:eastAsiaTheme="minorHAnsi"/>
          <w:sz w:val="23"/>
          <w:szCs w:val="23"/>
        </w:rPr>
      </w:pPr>
    </w:p>
    <w:p w14:paraId="6ECFBDED">
      <w:pPr>
        <w:pStyle w:val="19"/>
        <w:jc w:val="both"/>
        <w:rPr>
          <w:rFonts w:asciiTheme="majorHAnsi" w:hAnsiTheme="majorHAnsi"/>
        </w:rPr>
      </w:pPr>
    </w:p>
    <w:p w14:paraId="7594E572">
      <w:pPr>
        <w:pStyle w:val="19"/>
        <w:jc w:val="both"/>
        <w:rPr>
          <w:rFonts w:asciiTheme="majorHAnsi" w:hAnsiTheme="majorHAnsi"/>
        </w:rPr>
      </w:pPr>
    </w:p>
    <w:p w14:paraId="03D02841">
      <w:pPr>
        <w:pStyle w:val="19"/>
        <w:jc w:val="both"/>
        <w:rPr>
          <w:rFonts w:asciiTheme="majorHAnsi" w:hAnsiTheme="majorHAnsi"/>
        </w:rPr>
      </w:pPr>
    </w:p>
    <w:p w14:paraId="49D545F6">
      <w:pPr>
        <w:pStyle w:val="19"/>
        <w:jc w:val="both"/>
        <w:rPr>
          <w:rFonts w:asciiTheme="majorHAnsi" w:hAnsiTheme="majorHAnsi"/>
        </w:rPr>
      </w:pPr>
    </w:p>
    <w:p w14:paraId="4325BCC6">
      <w:pPr>
        <w:pStyle w:val="19"/>
        <w:jc w:val="both"/>
        <w:rPr>
          <w:rFonts w:asciiTheme="majorHAnsi" w:hAnsiTheme="majorHAnsi"/>
        </w:rPr>
      </w:pPr>
    </w:p>
    <w:p w14:paraId="71EADE48">
      <w:pPr>
        <w:pStyle w:val="19"/>
        <w:jc w:val="both"/>
        <w:rPr>
          <w:rFonts w:asciiTheme="majorHAnsi" w:hAnsiTheme="majorHAnsi"/>
          <w:sz w:val="24"/>
          <w:szCs w:val="24"/>
        </w:rPr>
      </w:pPr>
      <w:r>
        <w:rPr>
          <w:rFonts w:asciiTheme="majorHAnsi" w:hAnsiTheme="majorHAnsi"/>
          <w:sz w:val="24"/>
          <w:szCs w:val="24"/>
        </w:rPr>
        <w:t>RIFAINA, 02 de outubro de 2025.</w:t>
      </w:r>
    </w:p>
    <w:p w14:paraId="698D1259">
      <w:pPr>
        <w:pStyle w:val="19"/>
        <w:jc w:val="both"/>
        <w:rPr>
          <w:rFonts w:asciiTheme="majorHAnsi" w:hAnsiTheme="majorHAnsi"/>
        </w:rPr>
      </w:pPr>
    </w:p>
    <w:p w14:paraId="11A43858">
      <w:pPr>
        <w:pStyle w:val="19"/>
        <w:jc w:val="both"/>
        <w:rPr>
          <w:rFonts w:asciiTheme="majorHAnsi" w:hAnsiTheme="majorHAnsi"/>
        </w:rPr>
      </w:pPr>
    </w:p>
    <w:p w14:paraId="2B84EA52">
      <w:pPr>
        <w:pStyle w:val="19"/>
        <w:jc w:val="both"/>
        <w:rPr>
          <w:rFonts w:asciiTheme="majorHAnsi" w:hAnsiTheme="majorHAnsi"/>
        </w:rPr>
      </w:pPr>
    </w:p>
    <w:p w14:paraId="6405CF99">
      <w:pPr>
        <w:pStyle w:val="19"/>
        <w:jc w:val="both"/>
        <w:rPr>
          <w:rFonts w:asciiTheme="majorHAnsi" w:hAnsiTheme="majorHAnsi"/>
        </w:rPr>
      </w:pPr>
      <w:r>
        <w:rPr>
          <w:rFonts w:asciiTheme="majorHAnsi" w:hAnsiTheme="majorHAnsi"/>
        </w:rPr>
        <w:t>_______________________________________________</w:t>
      </w:r>
    </w:p>
    <w:p w14:paraId="62EDCE3A">
      <w:pPr>
        <w:pStyle w:val="19"/>
        <w:jc w:val="both"/>
        <w:rPr>
          <w:rFonts w:asciiTheme="majorHAnsi" w:hAnsiTheme="majorHAnsi"/>
        </w:rPr>
      </w:pPr>
      <w:r>
        <w:rPr>
          <w:rFonts w:asciiTheme="majorHAnsi" w:hAnsiTheme="majorHAnsi"/>
        </w:rPr>
        <w:t>Eliza B. Feliciano dos Santos</w:t>
      </w:r>
    </w:p>
    <w:p w14:paraId="2A110CAF">
      <w:pPr>
        <w:pStyle w:val="19"/>
        <w:jc w:val="both"/>
        <w:rPr>
          <w:rFonts w:asciiTheme="majorHAnsi" w:hAnsiTheme="majorHAnsi"/>
        </w:rPr>
      </w:pPr>
      <w:r>
        <w:rPr>
          <w:rFonts w:asciiTheme="majorHAnsi" w:hAnsiTheme="majorHAnsi"/>
        </w:rPr>
        <w:t>Secretária de Cultura</w:t>
      </w:r>
    </w:p>
    <w:p w14:paraId="54CC4A90">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502873BC">
      <w:pPr>
        <w:pStyle w:val="2"/>
        <w:spacing w:before="71"/>
        <w:ind w:left="0" w:leftChars="0" w:right="889" w:firstLine="0" w:firstLineChars="0"/>
        <w:jc w:val="center"/>
        <w:rPr>
          <w:spacing w:val="-10"/>
          <w:w w:val="115"/>
        </w:rPr>
      </w:pPr>
    </w:p>
    <w:p w14:paraId="4A08E3B9">
      <w:pPr>
        <w:pStyle w:val="2"/>
        <w:spacing w:before="71"/>
        <w:ind w:left="0" w:leftChars="0" w:right="889" w:firstLine="0" w:firstLineChars="0"/>
        <w:jc w:val="center"/>
        <w:rPr>
          <w:spacing w:val="-10"/>
          <w:w w:val="115"/>
        </w:rPr>
      </w:pPr>
    </w:p>
    <w:p w14:paraId="256958B3">
      <w:pPr>
        <w:pStyle w:val="2"/>
        <w:spacing w:before="71"/>
        <w:ind w:left="0" w:leftChars="0" w:right="889" w:firstLine="0" w:firstLineChars="0"/>
        <w:jc w:val="center"/>
        <w:rPr>
          <w:spacing w:val="-10"/>
          <w:w w:val="115"/>
        </w:rPr>
      </w:pPr>
    </w:p>
    <w:p w14:paraId="702D2B68">
      <w:pPr>
        <w:pStyle w:val="2"/>
        <w:spacing w:before="71"/>
        <w:ind w:left="0" w:leftChars="0" w:right="889" w:firstLine="0" w:firstLineChars="0"/>
        <w:jc w:val="center"/>
        <w:rPr>
          <w:spacing w:val="-10"/>
          <w:w w:val="115"/>
        </w:rPr>
      </w:pPr>
    </w:p>
    <w:p w14:paraId="5A015254">
      <w:pPr>
        <w:pStyle w:val="2"/>
        <w:spacing w:before="71"/>
        <w:ind w:left="0" w:leftChars="0" w:right="889" w:firstLine="0" w:firstLineChars="0"/>
        <w:jc w:val="both"/>
        <w:rPr>
          <w:spacing w:val="-10"/>
          <w:w w:val="115"/>
        </w:rPr>
      </w:pPr>
    </w:p>
    <w:p w14:paraId="6F32A7C2">
      <w:pPr>
        <w:pStyle w:val="2"/>
        <w:spacing w:before="71"/>
        <w:ind w:left="0" w:leftChars="0" w:right="889" w:firstLine="0" w:firstLineChars="0"/>
        <w:jc w:val="center"/>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42/</w:t>
      </w:r>
      <w:r>
        <w:rPr>
          <w:b/>
          <w:bCs/>
        </w:rPr>
        <w:t xml:space="preserve">2025 PROCESSO ADM N° </w:t>
      </w:r>
      <w:r>
        <w:rPr>
          <w:rFonts w:hint="default"/>
          <w:b/>
          <w:bCs/>
          <w:lang w:val="pt-BR"/>
        </w:rPr>
        <w:t>430/</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4F376F61">
      <w:pPr>
        <w:spacing w:line="360" w:lineRule="auto"/>
        <w:jc w:val="both"/>
        <w:rPr>
          <w:rFonts w:ascii="Arial" w:hAnsi="Arial" w:cs="Arial"/>
          <w:bCs/>
          <w:sz w:val="24"/>
          <w:szCs w:val="24"/>
          <w:highlight w:val="yellow"/>
          <w:lang w:val="pt-BR"/>
        </w:rPr>
      </w:pPr>
    </w:p>
    <w:tbl>
      <w:tblPr>
        <w:tblStyle w:val="4"/>
        <w:tblW w:w="10743" w:type="dxa"/>
        <w:tblInd w:w="-497" w:type="dxa"/>
        <w:tblLayout w:type="autofit"/>
        <w:tblCellMar>
          <w:top w:w="0" w:type="dxa"/>
          <w:left w:w="70" w:type="dxa"/>
          <w:bottom w:w="0" w:type="dxa"/>
          <w:right w:w="70" w:type="dxa"/>
        </w:tblCellMar>
      </w:tblPr>
      <w:tblGrid>
        <w:gridCol w:w="699"/>
        <w:gridCol w:w="984"/>
        <w:gridCol w:w="745"/>
        <w:gridCol w:w="4235"/>
        <w:gridCol w:w="2400"/>
        <w:gridCol w:w="1680"/>
      </w:tblGrid>
      <w:tr w14:paraId="53629672">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65CF4321">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8" w:space="0"/>
              <w:left w:val="nil"/>
              <w:bottom w:val="single" w:color="auto" w:sz="8" w:space="0"/>
              <w:right w:val="single" w:color="auto" w:sz="8" w:space="0"/>
            </w:tcBorders>
            <w:noWrap w:val="0"/>
            <w:vAlign w:val="center"/>
          </w:tcPr>
          <w:p w14:paraId="35459E47">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745" w:type="dxa"/>
            <w:tcBorders>
              <w:top w:val="single" w:color="auto" w:sz="8" w:space="0"/>
              <w:left w:val="nil"/>
              <w:bottom w:val="single" w:color="auto" w:sz="8" w:space="0"/>
              <w:right w:val="single" w:color="auto" w:sz="8" w:space="0"/>
            </w:tcBorders>
            <w:noWrap w:val="0"/>
            <w:vAlign w:val="center"/>
          </w:tcPr>
          <w:p w14:paraId="7F5BB5A8">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w:t>
            </w:r>
          </w:p>
        </w:tc>
        <w:tc>
          <w:tcPr>
            <w:tcW w:w="4235" w:type="dxa"/>
            <w:tcBorders>
              <w:top w:val="single" w:color="auto" w:sz="8" w:space="0"/>
              <w:left w:val="nil"/>
              <w:bottom w:val="single" w:color="auto" w:sz="8" w:space="0"/>
              <w:right w:val="single" w:color="auto" w:sz="8" w:space="0"/>
            </w:tcBorders>
            <w:noWrap w:val="0"/>
            <w:vAlign w:val="center"/>
          </w:tcPr>
          <w:p w14:paraId="3A9D4BA9">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PRODUTOS</w:t>
            </w:r>
          </w:p>
        </w:tc>
        <w:tc>
          <w:tcPr>
            <w:tcW w:w="2400" w:type="dxa"/>
            <w:tcBorders>
              <w:top w:val="single" w:color="auto" w:sz="8" w:space="0"/>
              <w:left w:val="nil"/>
              <w:bottom w:val="single" w:color="auto" w:sz="8" w:space="0"/>
              <w:right w:val="single" w:color="auto" w:sz="8" w:space="0"/>
            </w:tcBorders>
            <w:noWrap w:val="0"/>
            <w:vAlign w:val="center"/>
          </w:tcPr>
          <w:p w14:paraId="6AD556DE">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UNIT.</w:t>
            </w:r>
          </w:p>
        </w:tc>
        <w:tc>
          <w:tcPr>
            <w:tcW w:w="1680" w:type="dxa"/>
            <w:tcBorders>
              <w:top w:val="single" w:color="auto" w:sz="8" w:space="0"/>
              <w:left w:val="nil"/>
              <w:bottom w:val="single" w:color="auto" w:sz="8" w:space="0"/>
              <w:right w:val="single" w:color="auto" w:sz="8" w:space="0"/>
            </w:tcBorders>
            <w:noWrap w:val="0"/>
            <w:vAlign w:val="center"/>
          </w:tcPr>
          <w:p w14:paraId="0B23D482">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64F1C8BA">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0FC46B9D">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1</w:t>
            </w:r>
          </w:p>
        </w:tc>
        <w:tc>
          <w:tcPr>
            <w:tcW w:w="984" w:type="dxa"/>
            <w:tcBorders>
              <w:top w:val="single" w:color="auto" w:sz="8" w:space="0"/>
              <w:left w:val="nil"/>
              <w:bottom w:val="single" w:color="auto" w:sz="8" w:space="0"/>
              <w:right w:val="single" w:color="auto" w:sz="8" w:space="0"/>
            </w:tcBorders>
            <w:noWrap w:val="0"/>
            <w:vAlign w:val="center"/>
          </w:tcPr>
          <w:p w14:paraId="340C0D0A">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32</w:t>
            </w:r>
          </w:p>
        </w:tc>
        <w:tc>
          <w:tcPr>
            <w:tcW w:w="745" w:type="dxa"/>
            <w:tcBorders>
              <w:top w:val="single" w:color="auto" w:sz="8" w:space="0"/>
              <w:left w:val="nil"/>
              <w:bottom w:val="single" w:color="auto" w:sz="8" w:space="0"/>
              <w:right w:val="single" w:color="auto" w:sz="8" w:space="0"/>
            </w:tcBorders>
            <w:noWrap w:val="0"/>
            <w:vAlign w:val="center"/>
          </w:tcPr>
          <w:p w14:paraId="47503A43">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UNID</w:t>
            </w:r>
          </w:p>
        </w:tc>
        <w:tc>
          <w:tcPr>
            <w:tcW w:w="4235" w:type="dxa"/>
            <w:tcBorders>
              <w:top w:val="single" w:color="auto" w:sz="8" w:space="0"/>
              <w:left w:val="nil"/>
              <w:bottom w:val="single" w:color="auto" w:sz="8" w:space="0"/>
              <w:right w:val="single" w:color="auto" w:sz="8" w:space="0"/>
            </w:tcBorders>
            <w:noWrap w:val="0"/>
            <w:vAlign w:val="center"/>
          </w:tcPr>
          <w:p w14:paraId="20CE89C8">
            <w:pPr>
              <w:suppressAutoHyphens w:val="0"/>
              <w:jc w:val="center"/>
              <w:rPr>
                <w:rFonts w:ascii="Arial" w:hAnsi="Arial" w:cs="Arial"/>
                <w:b/>
                <w:bCs/>
                <w:color w:val="000000"/>
                <w:sz w:val="22"/>
                <w:szCs w:val="22"/>
                <w:lang w:eastAsia="pt-BR"/>
              </w:rPr>
            </w:pPr>
            <w:r>
              <w:rPr>
                <w:rFonts w:ascii="Calibri" w:hAnsi="Calibri" w:eastAsia="Calibri"/>
                <w:sz w:val="22"/>
                <w:szCs w:val="22"/>
              </w:rPr>
              <w:t>Linha cone -1500mts cor vermelho / verde</w:t>
            </w:r>
          </w:p>
        </w:tc>
        <w:tc>
          <w:tcPr>
            <w:tcW w:w="2400" w:type="dxa"/>
            <w:tcBorders>
              <w:top w:val="single" w:color="auto" w:sz="8" w:space="0"/>
              <w:left w:val="nil"/>
              <w:bottom w:val="single" w:color="auto" w:sz="8" w:space="0"/>
              <w:right w:val="single" w:color="auto" w:sz="8" w:space="0"/>
            </w:tcBorders>
            <w:noWrap w:val="0"/>
            <w:vAlign w:val="center"/>
          </w:tcPr>
          <w:p w14:paraId="5685FB1C">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635F8508">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r w14:paraId="2A615EC7">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24A23612">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2</w:t>
            </w:r>
          </w:p>
        </w:tc>
        <w:tc>
          <w:tcPr>
            <w:tcW w:w="984" w:type="dxa"/>
            <w:tcBorders>
              <w:top w:val="single" w:color="auto" w:sz="8" w:space="0"/>
              <w:left w:val="nil"/>
              <w:bottom w:val="single" w:color="auto" w:sz="8" w:space="0"/>
              <w:right w:val="single" w:color="auto" w:sz="8" w:space="0"/>
            </w:tcBorders>
            <w:noWrap w:val="0"/>
            <w:vAlign w:val="center"/>
          </w:tcPr>
          <w:p w14:paraId="32362DE0">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36</w:t>
            </w:r>
          </w:p>
        </w:tc>
        <w:tc>
          <w:tcPr>
            <w:tcW w:w="745" w:type="dxa"/>
            <w:tcBorders>
              <w:top w:val="single" w:color="auto" w:sz="8" w:space="0"/>
              <w:left w:val="nil"/>
              <w:bottom w:val="single" w:color="auto" w:sz="8" w:space="0"/>
              <w:right w:val="single" w:color="auto" w:sz="8" w:space="0"/>
            </w:tcBorders>
            <w:noWrap w:val="0"/>
            <w:vAlign w:val="center"/>
          </w:tcPr>
          <w:p w14:paraId="371639AB">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UNID</w:t>
            </w:r>
          </w:p>
        </w:tc>
        <w:tc>
          <w:tcPr>
            <w:tcW w:w="4235" w:type="dxa"/>
            <w:tcBorders>
              <w:top w:val="single" w:color="auto" w:sz="8" w:space="0"/>
              <w:left w:val="nil"/>
              <w:bottom w:val="single" w:color="auto" w:sz="8" w:space="0"/>
              <w:right w:val="single" w:color="auto" w:sz="8" w:space="0"/>
            </w:tcBorders>
            <w:noWrap w:val="0"/>
            <w:vAlign w:val="center"/>
          </w:tcPr>
          <w:p w14:paraId="6A232405">
            <w:pPr>
              <w:suppressAutoHyphens w:val="0"/>
              <w:jc w:val="center"/>
              <w:rPr>
                <w:rFonts w:ascii="Arial" w:hAnsi="Arial" w:cs="Arial"/>
                <w:b/>
                <w:bCs/>
                <w:color w:val="000000"/>
                <w:sz w:val="22"/>
                <w:szCs w:val="22"/>
                <w:lang w:eastAsia="pt-BR"/>
              </w:rPr>
            </w:pPr>
            <w:r>
              <w:rPr>
                <w:rFonts w:ascii="Calibri" w:hAnsi="Calibri" w:eastAsia="Calibri"/>
                <w:sz w:val="22"/>
                <w:szCs w:val="22"/>
              </w:rPr>
              <w:t>Fio overlock – 100grs cor vermelho/ verde</w:t>
            </w:r>
          </w:p>
        </w:tc>
        <w:tc>
          <w:tcPr>
            <w:tcW w:w="2400" w:type="dxa"/>
            <w:tcBorders>
              <w:top w:val="single" w:color="auto" w:sz="8" w:space="0"/>
              <w:left w:val="nil"/>
              <w:bottom w:val="single" w:color="auto" w:sz="8" w:space="0"/>
              <w:right w:val="single" w:color="auto" w:sz="8" w:space="0"/>
            </w:tcBorders>
            <w:noWrap w:val="0"/>
            <w:vAlign w:val="center"/>
          </w:tcPr>
          <w:p w14:paraId="648F2573">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13722350">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r w14:paraId="6E3ED02E">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647A0279">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3</w:t>
            </w:r>
          </w:p>
        </w:tc>
        <w:tc>
          <w:tcPr>
            <w:tcW w:w="984" w:type="dxa"/>
            <w:tcBorders>
              <w:top w:val="single" w:color="auto" w:sz="8" w:space="0"/>
              <w:left w:val="nil"/>
              <w:bottom w:val="single" w:color="auto" w:sz="8" w:space="0"/>
              <w:right w:val="single" w:color="auto" w:sz="8" w:space="0"/>
            </w:tcBorders>
            <w:noWrap w:val="0"/>
            <w:vAlign w:val="center"/>
          </w:tcPr>
          <w:p w14:paraId="22EDF3D9">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2</w:t>
            </w:r>
          </w:p>
        </w:tc>
        <w:tc>
          <w:tcPr>
            <w:tcW w:w="745" w:type="dxa"/>
            <w:tcBorders>
              <w:top w:val="single" w:color="auto" w:sz="8" w:space="0"/>
              <w:left w:val="nil"/>
              <w:bottom w:val="single" w:color="auto" w:sz="8" w:space="0"/>
              <w:right w:val="single" w:color="auto" w:sz="8" w:space="0"/>
            </w:tcBorders>
            <w:noWrap w:val="0"/>
            <w:vAlign w:val="center"/>
          </w:tcPr>
          <w:p w14:paraId="7DE1FB05">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UNID</w:t>
            </w:r>
          </w:p>
        </w:tc>
        <w:tc>
          <w:tcPr>
            <w:tcW w:w="4235" w:type="dxa"/>
            <w:tcBorders>
              <w:top w:val="single" w:color="auto" w:sz="8" w:space="0"/>
              <w:left w:val="nil"/>
              <w:bottom w:val="single" w:color="auto" w:sz="8" w:space="0"/>
              <w:right w:val="single" w:color="auto" w:sz="8" w:space="0"/>
            </w:tcBorders>
            <w:noWrap w:val="0"/>
            <w:vAlign w:val="center"/>
          </w:tcPr>
          <w:p w14:paraId="499109E6">
            <w:pPr>
              <w:suppressAutoHyphens w:val="0"/>
              <w:jc w:val="center"/>
              <w:rPr>
                <w:rFonts w:ascii="Arial" w:hAnsi="Arial" w:cs="Arial"/>
                <w:b/>
                <w:bCs/>
                <w:color w:val="000000"/>
                <w:sz w:val="22"/>
                <w:szCs w:val="22"/>
                <w:lang w:eastAsia="pt-BR"/>
              </w:rPr>
            </w:pPr>
            <w:r>
              <w:rPr>
                <w:rFonts w:ascii="Calibri" w:hAnsi="Calibri" w:eastAsia="Calibri"/>
                <w:sz w:val="22"/>
                <w:szCs w:val="22"/>
              </w:rPr>
              <w:t>Tesoura mundial 690 9 ½”</w:t>
            </w:r>
          </w:p>
        </w:tc>
        <w:tc>
          <w:tcPr>
            <w:tcW w:w="2400" w:type="dxa"/>
            <w:tcBorders>
              <w:top w:val="single" w:color="auto" w:sz="8" w:space="0"/>
              <w:left w:val="nil"/>
              <w:bottom w:val="single" w:color="auto" w:sz="8" w:space="0"/>
              <w:right w:val="single" w:color="auto" w:sz="8" w:space="0"/>
            </w:tcBorders>
            <w:noWrap w:val="0"/>
            <w:vAlign w:val="center"/>
          </w:tcPr>
          <w:p w14:paraId="58CA83D0">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4C2BF2C2">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r w14:paraId="0E55A089">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6AC916CE">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4</w:t>
            </w:r>
          </w:p>
        </w:tc>
        <w:tc>
          <w:tcPr>
            <w:tcW w:w="984" w:type="dxa"/>
            <w:tcBorders>
              <w:top w:val="single" w:color="auto" w:sz="8" w:space="0"/>
              <w:left w:val="nil"/>
              <w:bottom w:val="single" w:color="auto" w:sz="8" w:space="0"/>
              <w:right w:val="single" w:color="auto" w:sz="8" w:space="0"/>
            </w:tcBorders>
            <w:noWrap w:val="0"/>
            <w:vAlign w:val="center"/>
          </w:tcPr>
          <w:p w14:paraId="6A3F797A">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40</w:t>
            </w:r>
          </w:p>
        </w:tc>
        <w:tc>
          <w:tcPr>
            <w:tcW w:w="745" w:type="dxa"/>
            <w:tcBorders>
              <w:top w:val="single" w:color="auto" w:sz="8" w:space="0"/>
              <w:left w:val="nil"/>
              <w:bottom w:val="single" w:color="auto" w:sz="8" w:space="0"/>
              <w:right w:val="single" w:color="auto" w:sz="8" w:space="0"/>
            </w:tcBorders>
            <w:noWrap w:val="0"/>
            <w:vAlign w:val="center"/>
          </w:tcPr>
          <w:p w14:paraId="159DC8D4">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UNID</w:t>
            </w:r>
          </w:p>
        </w:tc>
        <w:tc>
          <w:tcPr>
            <w:tcW w:w="4235" w:type="dxa"/>
            <w:tcBorders>
              <w:top w:val="single" w:color="auto" w:sz="8" w:space="0"/>
              <w:left w:val="nil"/>
              <w:bottom w:val="single" w:color="auto" w:sz="8" w:space="0"/>
              <w:right w:val="single" w:color="auto" w:sz="8" w:space="0"/>
            </w:tcBorders>
            <w:noWrap w:val="0"/>
            <w:vAlign w:val="center"/>
          </w:tcPr>
          <w:p w14:paraId="69D59CA9">
            <w:pPr>
              <w:suppressAutoHyphens w:val="0"/>
              <w:jc w:val="center"/>
              <w:rPr>
                <w:rFonts w:ascii="Arial" w:hAnsi="Arial" w:cs="Arial"/>
                <w:b/>
                <w:bCs/>
                <w:color w:val="000000"/>
                <w:sz w:val="22"/>
                <w:szCs w:val="22"/>
                <w:lang w:eastAsia="pt-BR"/>
              </w:rPr>
            </w:pPr>
            <w:r>
              <w:rPr>
                <w:rFonts w:ascii="Calibri" w:hAnsi="Calibri" w:eastAsia="Calibri"/>
                <w:sz w:val="22"/>
                <w:szCs w:val="22"/>
              </w:rPr>
              <w:t>Botão grande</w:t>
            </w:r>
          </w:p>
        </w:tc>
        <w:tc>
          <w:tcPr>
            <w:tcW w:w="2400" w:type="dxa"/>
            <w:tcBorders>
              <w:top w:val="single" w:color="auto" w:sz="8" w:space="0"/>
              <w:left w:val="nil"/>
              <w:bottom w:val="single" w:color="auto" w:sz="8" w:space="0"/>
              <w:right w:val="single" w:color="auto" w:sz="8" w:space="0"/>
            </w:tcBorders>
            <w:noWrap w:val="0"/>
            <w:vAlign w:val="center"/>
          </w:tcPr>
          <w:p w14:paraId="28EF7A59">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405FEC31">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r w14:paraId="12F6D269">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1A6CC31A">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5</w:t>
            </w:r>
          </w:p>
        </w:tc>
        <w:tc>
          <w:tcPr>
            <w:tcW w:w="984" w:type="dxa"/>
            <w:tcBorders>
              <w:top w:val="single" w:color="auto" w:sz="8" w:space="0"/>
              <w:left w:val="nil"/>
              <w:bottom w:val="single" w:color="auto" w:sz="8" w:space="0"/>
              <w:right w:val="single" w:color="auto" w:sz="8" w:space="0"/>
            </w:tcBorders>
            <w:noWrap w:val="0"/>
            <w:vAlign w:val="center"/>
          </w:tcPr>
          <w:p w14:paraId="5576AC35">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1</w:t>
            </w:r>
          </w:p>
        </w:tc>
        <w:tc>
          <w:tcPr>
            <w:tcW w:w="745" w:type="dxa"/>
            <w:tcBorders>
              <w:top w:val="single" w:color="auto" w:sz="8" w:space="0"/>
              <w:left w:val="nil"/>
              <w:bottom w:val="single" w:color="auto" w:sz="8" w:space="0"/>
              <w:right w:val="single" w:color="auto" w:sz="8" w:space="0"/>
            </w:tcBorders>
            <w:noWrap w:val="0"/>
            <w:vAlign w:val="center"/>
          </w:tcPr>
          <w:p w14:paraId="25D2C8BF">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UNID</w:t>
            </w:r>
          </w:p>
        </w:tc>
        <w:tc>
          <w:tcPr>
            <w:tcW w:w="4235" w:type="dxa"/>
            <w:tcBorders>
              <w:top w:val="single" w:color="auto" w:sz="8" w:space="0"/>
              <w:left w:val="nil"/>
              <w:bottom w:val="single" w:color="auto" w:sz="8" w:space="0"/>
              <w:right w:val="single" w:color="auto" w:sz="8" w:space="0"/>
            </w:tcBorders>
            <w:noWrap w:val="0"/>
            <w:vAlign w:val="center"/>
          </w:tcPr>
          <w:p w14:paraId="1B57AEB5">
            <w:pPr>
              <w:suppressAutoHyphens w:val="0"/>
              <w:jc w:val="center"/>
              <w:rPr>
                <w:rFonts w:ascii="Arial" w:hAnsi="Arial" w:cs="Arial"/>
                <w:b/>
                <w:bCs/>
                <w:color w:val="000000"/>
                <w:sz w:val="22"/>
                <w:szCs w:val="22"/>
                <w:lang w:eastAsia="pt-BR"/>
              </w:rPr>
            </w:pPr>
            <w:r>
              <w:rPr>
                <w:rFonts w:ascii="Calibri" w:hAnsi="Calibri" w:eastAsia="Calibri"/>
                <w:sz w:val="22"/>
                <w:szCs w:val="22"/>
              </w:rPr>
              <w:t xml:space="preserve">Pinça para máquina de costura </w:t>
            </w:r>
          </w:p>
        </w:tc>
        <w:tc>
          <w:tcPr>
            <w:tcW w:w="2400" w:type="dxa"/>
            <w:tcBorders>
              <w:top w:val="single" w:color="auto" w:sz="8" w:space="0"/>
              <w:left w:val="nil"/>
              <w:bottom w:val="single" w:color="auto" w:sz="8" w:space="0"/>
              <w:right w:val="single" w:color="auto" w:sz="8" w:space="0"/>
            </w:tcBorders>
            <w:noWrap w:val="0"/>
            <w:vAlign w:val="center"/>
          </w:tcPr>
          <w:p w14:paraId="482B3253">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357A5712">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r w14:paraId="04D5B576">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59CC4094">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6</w:t>
            </w:r>
          </w:p>
        </w:tc>
        <w:tc>
          <w:tcPr>
            <w:tcW w:w="984" w:type="dxa"/>
            <w:tcBorders>
              <w:top w:val="single" w:color="auto" w:sz="8" w:space="0"/>
              <w:left w:val="nil"/>
              <w:bottom w:val="single" w:color="auto" w:sz="8" w:space="0"/>
              <w:right w:val="single" w:color="auto" w:sz="8" w:space="0"/>
            </w:tcBorders>
            <w:noWrap w:val="0"/>
            <w:vAlign w:val="center"/>
          </w:tcPr>
          <w:p w14:paraId="7225BFB0">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1</w:t>
            </w:r>
          </w:p>
        </w:tc>
        <w:tc>
          <w:tcPr>
            <w:tcW w:w="745" w:type="dxa"/>
            <w:tcBorders>
              <w:top w:val="single" w:color="auto" w:sz="8" w:space="0"/>
              <w:left w:val="nil"/>
              <w:bottom w:val="single" w:color="auto" w:sz="8" w:space="0"/>
              <w:right w:val="single" w:color="auto" w:sz="8" w:space="0"/>
            </w:tcBorders>
            <w:noWrap w:val="0"/>
            <w:vAlign w:val="center"/>
          </w:tcPr>
          <w:p w14:paraId="403653F5">
            <w:pPr>
              <w:suppressAutoHyphens w:val="0"/>
              <w:jc w:val="center"/>
              <w:rPr>
                <w:rFonts w:ascii="Arial" w:hAnsi="Arial" w:cs="Arial"/>
                <w:b/>
                <w:bCs/>
                <w:color w:val="000000"/>
                <w:sz w:val="22"/>
                <w:szCs w:val="22"/>
                <w:lang w:eastAsia="pt-BR"/>
              </w:rPr>
            </w:pPr>
            <w:r>
              <w:rPr>
                <w:rFonts w:ascii="Calibri" w:hAnsi="Calibri" w:eastAsia="Calibri"/>
                <w:b/>
                <w:bCs/>
                <w:sz w:val="22"/>
                <w:szCs w:val="22"/>
              </w:rPr>
              <w:t>PC</w:t>
            </w:r>
          </w:p>
        </w:tc>
        <w:tc>
          <w:tcPr>
            <w:tcW w:w="4235" w:type="dxa"/>
            <w:tcBorders>
              <w:top w:val="single" w:color="auto" w:sz="8" w:space="0"/>
              <w:left w:val="nil"/>
              <w:bottom w:val="single" w:color="auto" w:sz="8" w:space="0"/>
              <w:right w:val="single" w:color="auto" w:sz="8" w:space="0"/>
            </w:tcBorders>
            <w:noWrap w:val="0"/>
            <w:vAlign w:val="center"/>
          </w:tcPr>
          <w:p w14:paraId="656EBC8F">
            <w:pPr>
              <w:suppressAutoHyphens w:val="0"/>
              <w:jc w:val="center"/>
              <w:rPr>
                <w:rFonts w:ascii="Arial" w:hAnsi="Arial" w:cs="Arial"/>
                <w:b/>
                <w:bCs/>
                <w:color w:val="000000"/>
                <w:sz w:val="22"/>
                <w:szCs w:val="22"/>
                <w:lang w:eastAsia="pt-BR"/>
              </w:rPr>
            </w:pPr>
            <w:r>
              <w:rPr>
                <w:rFonts w:ascii="Calibri" w:hAnsi="Calibri" w:eastAsia="Calibri"/>
                <w:sz w:val="22"/>
                <w:szCs w:val="22"/>
              </w:rPr>
              <w:t>Elástico poliéster branco 50mm- 25mts</w:t>
            </w:r>
          </w:p>
        </w:tc>
        <w:tc>
          <w:tcPr>
            <w:tcW w:w="2400" w:type="dxa"/>
            <w:tcBorders>
              <w:top w:val="single" w:color="auto" w:sz="8" w:space="0"/>
              <w:left w:val="nil"/>
              <w:bottom w:val="single" w:color="auto" w:sz="8" w:space="0"/>
              <w:right w:val="single" w:color="auto" w:sz="8" w:space="0"/>
            </w:tcBorders>
            <w:noWrap w:val="0"/>
            <w:vAlign w:val="center"/>
          </w:tcPr>
          <w:p w14:paraId="4D2ABBCA">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565079CC">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r w14:paraId="2A58EE74">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39D37EBD">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7</w:t>
            </w:r>
          </w:p>
        </w:tc>
        <w:tc>
          <w:tcPr>
            <w:tcW w:w="984" w:type="dxa"/>
            <w:tcBorders>
              <w:top w:val="single" w:color="auto" w:sz="8" w:space="0"/>
              <w:left w:val="nil"/>
              <w:bottom w:val="single" w:color="auto" w:sz="8" w:space="0"/>
              <w:right w:val="single" w:color="auto" w:sz="8" w:space="0"/>
            </w:tcBorders>
            <w:noWrap w:val="0"/>
            <w:vAlign w:val="center"/>
          </w:tcPr>
          <w:p w14:paraId="3D058F9C">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1</w:t>
            </w:r>
          </w:p>
        </w:tc>
        <w:tc>
          <w:tcPr>
            <w:tcW w:w="745" w:type="dxa"/>
            <w:tcBorders>
              <w:top w:val="single" w:color="auto" w:sz="8" w:space="0"/>
              <w:left w:val="nil"/>
              <w:bottom w:val="single" w:color="auto" w:sz="8" w:space="0"/>
              <w:right w:val="single" w:color="auto" w:sz="8" w:space="0"/>
            </w:tcBorders>
            <w:noWrap w:val="0"/>
            <w:vAlign w:val="center"/>
          </w:tcPr>
          <w:p w14:paraId="48DE7E6B">
            <w:pPr>
              <w:suppressAutoHyphens w:val="0"/>
              <w:jc w:val="center"/>
              <w:rPr>
                <w:rFonts w:hint="default" w:ascii="Calibri" w:hAnsi="Calibri" w:eastAsia="Calibri"/>
                <w:b/>
                <w:bCs/>
                <w:sz w:val="22"/>
                <w:szCs w:val="22"/>
                <w:lang w:val="pt-BR"/>
              </w:rPr>
            </w:pPr>
            <w:r>
              <w:rPr>
                <w:rFonts w:hint="default" w:ascii="Calibri" w:hAnsi="Calibri" w:eastAsia="Calibri"/>
                <w:b/>
                <w:bCs/>
                <w:sz w:val="22"/>
                <w:szCs w:val="22"/>
                <w:lang w:val="pt-BR"/>
              </w:rPr>
              <w:t>UNID</w:t>
            </w:r>
          </w:p>
        </w:tc>
        <w:tc>
          <w:tcPr>
            <w:tcW w:w="4235" w:type="dxa"/>
            <w:tcBorders>
              <w:top w:val="single" w:color="auto" w:sz="8" w:space="0"/>
              <w:left w:val="nil"/>
              <w:bottom w:val="single" w:color="auto" w:sz="8" w:space="0"/>
              <w:right w:val="single" w:color="auto" w:sz="8" w:space="0"/>
            </w:tcBorders>
            <w:noWrap w:val="0"/>
            <w:vAlign w:val="center"/>
          </w:tcPr>
          <w:p w14:paraId="407963BB">
            <w:pPr>
              <w:suppressAutoHyphens w:val="0"/>
              <w:jc w:val="center"/>
              <w:rPr>
                <w:rFonts w:ascii="Calibri" w:hAnsi="Calibri" w:eastAsia="Calibri"/>
                <w:sz w:val="22"/>
                <w:szCs w:val="22"/>
              </w:rPr>
            </w:pPr>
            <w:r>
              <w:rPr>
                <w:rFonts w:ascii="Calibri" w:hAnsi="Calibri" w:eastAsia="Calibri"/>
                <w:sz w:val="22"/>
                <w:szCs w:val="22"/>
              </w:rPr>
              <w:t xml:space="preserve">Tesoura arremate metal/ colorida </w:t>
            </w:r>
          </w:p>
        </w:tc>
        <w:tc>
          <w:tcPr>
            <w:tcW w:w="2400" w:type="dxa"/>
            <w:tcBorders>
              <w:top w:val="single" w:color="auto" w:sz="8" w:space="0"/>
              <w:left w:val="nil"/>
              <w:bottom w:val="single" w:color="auto" w:sz="8" w:space="0"/>
              <w:right w:val="single" w:color="auto" w:sz="8" w:space="0"/>
            </w:tcBorders>
            <w:noWrap w:val="0"/>
            <w:vAlign w:val="center"/>
          </w:tcPr>
          <w:p w14:paraId="3B203519">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185A622C">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r w14:paraId="53FA796E">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59947E16">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8</w:t>
            </w:r>
          </w:p>
        </w:tc>
        <w:tc>
          <w:tcPr>
            <w:tcW w:w="984" w:type="dxa"/>
            <w:tcBorders>
              <w:top w:val="single" w:color="auto" w:sz="8" w:space="0"/>
              <w:left w:val="nil"/>
              <w:bottom w:val="single" w:color="auto" w:sz="8" w:space="0"/>
              <w:right w:val="single" w:color="auto" w:sz="8" w:space="0"/>
            </w:tcBorders>
            <w:noWrap w:val="0"/>
            <w:vAlign w:val="center"/>
          </w:tcPr>
          <w:p w14:paraId="4BB6B598">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84</w:t>
            </w:r>
          </w:p>
        </w:tc>
        <w:tc>
          <w:tcPr>
            <w:tcW w:w="745" w:type="dxa"/>
            <w:tcBorders>
              <w:top w:val="single" w:color="auto" w:sz="8" w:space="0"/>
              <w:left w:val="nil"/>
              <w:bottom w:val="single" w:color="auto" w:sz="8" w:space="0"/>
              <w:right w:val="single" w:color="auto" w:sz="8" w:space="0"/>
            </w:tcBorders>
            <w:noWrap w:val="0"/>
            <w:vAlign w:val="center"/>
          </w:tcPr>
          <w:p w14:paraId="4B3AD242">
            <w:pPr>
              <w:suppressAutoHyphens w:val="0"/>
              <w:jc w:val="center"/>
              <w:rPr>
                <w:rFonts w:hint="default" w:ascii="Calibri" w:hAnsi="Calibri" w:eastAsia="Calibri"/>
                <w:b/>
                <w:bCs/>
                <w:sz w:val="22"/>
                <w:szCs w:val="22"/>
                <w:lang w:val="pt-BR"/>
              </w:rPr>
            </w:pPr>
            <w:r>
              <w:rPr>
                <w:rFonts w:hint="default" w:ascii="Calibri" w:hAnsi="Calibri" w:eastAsia="Calibri"/>
                <w:b/>
                <w:bCs/>
                <w:sz w:val="22"/>
                <w:szCs w:val="22"/>
                <w:lang w:val="pt-BR"/>
              </w:rPr>
              <w:t>MT</w:t>
            </w:r>
          </w:p>
        </w:tc>
        <w:tc>
          <w:tcPr>
            <w:tcW w:w="4235" w:type="dxa"/>
            <w:tcBorders>
              <w:top w:val="single" w:color="auto" w:sz="8" w:space="0"/>
              <w:left w:val="nil"/>
              <w:bottom w:val="single" w:color="auto" w:sz="8" w:space="0"/>
              <w:right w:val="single" w:color="auto" w:sz="8" w:space="0"/>
            </w:tcBorders>
            <w:noWrap w:val="0"/>
            <w:vAlign w:val="center"/>
          </w:tcPr>
          <w:p w14:paraId="32393C91">
            <w:pPr>
              <w:suppressAutoHyphens w:val="0"/>
              <w:jc w:val="center"/>
              <w:rPr>
                <w:rFonts w:ascii="Calibri" w:hAnsi="Calibri" w:eastAsia="Calibri"/>
                <w:sz w:val="22"/>
                <w:szCs w:val="22"/>
              </w:rPr>
            </w:pPr>
            <w:r>
              <w:rPr>
                <w:rFonts w:ascii="Calibri" w:hAnsi="Calibri" w:eastAsia="Calibri"/>
                <w:sz w:val="22"/>
                <w:szCs w:val="22"/>
              </w:rPr>
              <w:t>Helanca escolar – 1,60 larg cor vermelho</w:t>
            </w:r>
          </w:p>
        </w:tc>
        <w:tc>
          <w:tcPr>
            <w:tcW w:w="2400" w:type="dxa"/>
            <w:tcBorders>
              <w:top w:val="single" w:color="auto" w:sz="8" w:space="0"/>
              <w:left w:val="nil"/>
              <w:bottom w:val="single" w:color="auto" w:sz="8" w:space="0"/>
              <w:right w:val="single" w:color="auto" w:sz="8" w:space="0"/>
            </w:tcBorders>
            <w:noWrap w:val="0"/>
            <w:vAlign w:val="center"/>
          </w:tcPr>
          <w:p w14:paraId="73E9EDED">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033677EA">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r w14:paraId="74B14D98">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412B7636">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9</w:t>
            </w:r>
          </w:p>
        </w:tc>
        <w:tc>
          <w:tcPr>
            <w:tcW w:w="984" w:type="dxa"/>
            <w:tcBorders>
              <w:top w:val="single" w:color="auto" w:sz="8" w:space="0"/>
              <w:left w:val="nil"/>
              <w:bottom w:val="single" w:color="auto" w:sz="8" w:space="0"/>
              <w:right w:val="single" w:color="auto" w:sz="8" w:space="0"/>
            </w:tcBorders>
            <w:noWrap w:val="0"/>
            <w:vAlign w:val="center"/>
          </w:tcPr>
          <w:p w14:paraId="7699DA45">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84</w:t>
            </w:r>
          </w:p>
        </w:tc>
        <w:tc>
          <w:tcPr>
            <w:tcW w:w="745" w:type="dxa"/>
            <w:tcBorders>
              <w:top w:val="single" w:color="auto" w:sz="8" w:space="0"/>
              <w:left w:val="nil"/>
              <w:bottom w:val="single" w:color="auto" w:sz="8" w:space="0"/>
              <w:right w:val="single" w:color="auto" w:sz="8" w:space="0"/>
            </w:tcBorders>
            <w:noWrap w:val="0"/>
            <w:vAlign w:val="center"/>
          </w:tcPr>
          <w:p w14:paraId="73747369">
            <w:pPr>
              <w:suppressAutoHyphens w:val="0"/>
              <w:jc w:val="center"/>
              <w:rPr>
                <w:rFonts w:hint="default" w:ascii="Calibri" w:hAnsi="Calibri" w:eastAsia="Calibri"/>
                <w:b/>
                <w:bCs/>
                <w:sz w:val="22"/>
                <w:szCs w:val="22"/>
                <w:lang w:val="pt-BR"/>
              </w:rPr>
            </w:pPr>
            <w:r>
              <w:rPr>
                <w:rFonts w:hint="default" w:ascii="Calibri" w:hAnsi="Calibri" w:eastAsia="Calibri"/>
                <w:b/>
                <w:bCs/>
                <w:sz w:val="22"/>
                <w:szCs w:val="22"/>
                <w:lang w:val="pt-BR"/>
              </w:rPr>
              <w:t>MT</w:t>
            </w:r>
          </w:p>
        </w:tc>
        <w:tc>
          <w:tcPr>
            <w:tcW w:w="4235" w:type="dxa"/>
            <w:tcBorders>
              <w:top w:val="single" w:color="auto" w:sz="8" w:space="0"/>
              <w:left w:val="nil"/>
              <w:bottom w:val="single" w:color="auto" w:sz="8" w:space="0"/>
              <w:right w:val="single" w:color="auto" w:sz="8" w:space="0"/>
            </w:tcBorders>
            <w:noWrap w:val="0"/>
            <w:vAlign w:val="center"/>
          </w:tcPr>
          <w:p w14:paraId="37CF9E3A">
            <w:pPr>
              <w:suppressAutoHyphens w:val="0"/>
              <w:jc w:val="center"/>
              <w:rPr>
                <w:rFonts w:ascii="Calibri" w:hAnsi="Calibri" w:eastAsia="Calibri"/>
                <w:sz w:val="22"/>
                <w:szCs w:val="22"/>
              </w:rPr>
            </w:pPr>
            <w:r>
              <w:rPr>
                <w:rFonts w:ascii="Calibri" w:hAnsi="Calibri" w:eastAsia="Calibri"/>
                <w:sz w:val="22"/>
                <w:szCs w:val="22"/>
              </w:rPr>
              <w:t>Veludo alemão – 1,40 larg cor vermelho</w:t>
            </w:r>
          </w:p>
        </w:tc>
        <w:tc>
          <w:tcPr>
            <w:tcW w:w="2400" w:type="dxa"/>
            <w:tcBorders>
              <w:top w:val="single" w:color="auto" w:sz="8" w:space="0"/>
              <w:left w:val="nil"/>
              <w:bottom w:val="single" w:color="auto" w:sz="8" w:space="0"/>
              <w:right w:val="single" w:color="auto" w:sz="8" w:space="0"/>
            </w:tcBorders>
            <w:noWrap w:val="0"/>
            <w:vAlign w:val="center"/>
          </w:tcPr>
          <w:p w14:paraId="045892F9">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427C36A6">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r w14:paraId="09D7F853">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569C3B0C">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10</w:t>
            </w:r>
          </w:p>
        </w:tc>
        <w:tc>
          <w:tcPr>
            <w:tcW w:w="984" w:type="dxa"/>
            <w:tcBorders>
              <w:top w:val="single" w:color="auto" w:sz="8" w:space="0"/>
              <w:left w:val="nil"/>
              <w:bottom w:val="single" w:color="auto" w:sz="8" w:space="0"/>
              <w:right w:val="single" w:color="auto" w:sz="8" w:space="0"/>
            </w:tcBorders>
            <w:noWrap w:val="0"/>
            <w:vAlign w:val="center"/>
          </w:tcPr>
          <w:p w14:paraId="2A3D9D17">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12</w:t>
            </w:r>
          </w:p>
        </w:tc>
        <w:tc>
          <w:tcPr>
            <w:tcW w:w="745" w:type="dxa"/>
            <w:tcBorders>
              <w:top w:val="single" w:color="auto" w:sz="8" w:space="0"/>
              <w:left w:val="nil"/>
              <w:bottom w:val="single" w:color="auto" w:sz="8" w:space="0"/>
              <w:right w:val="single" w:color="auto" w:sz="8" w:space="0"/>
            </w:tcBorders>
            <w:noWrap w:val="0"/>
            <w:vAlign w:val="center"/>
          </w:tcPr>
          <w:p w14:paraId="25682A2C">
            <w:pPr>
              <w:suppressAutoHyphens w:val="0"/>
              <w:jc w:val="center"/>
              <w:rPr>
                <w:rFonts w:hint="default" w:ascii="Calibri" w:hAnsi="Calibri" w:eastAsia="Calibri"/>
                <w:b/>
                <w:bCs/>
                <w:sz w:val="22"/>
                <w:szCs w:val="22"/>
                <w:lang w:val="pt-BR"/>
              </w:rPr>
            </w:pPr>
            <w:r>
              <w:rPr>
                <w:rFonts w:hint="default" w:ascii="Calibri" w:hAnsi="Calibri" w:eastAsia="Calibri"/>
                <w:b/>
                <w:bCs/>
                <w:sz w:val="22"/>
                <w:szCs w:val="22"/>
                <w:lang w:val="pt-BR"/>
              </w:rPr>
              <w:t>MT</w:t>
            </w:r>
          </w:p>
        </w:tc>
        <w:tc>
          <w:tcPr>
            <w:tcW w:w="4235" w:type="dxa"/>
            <w:tcBorders>
              <w:top w:val="single" w:color="auto" w:sz="8" w:space="0"/>
              <w:left w:val="nil"/>
              <w:bottom w:val="single" w:color="auto" w:sz="8" w:space="0"/>
              <w:right w:val="single" w:color="auto" w:sz="8" w:space="0"/>
            </w:tcBorders>
            <w:noWrap w:val="0"/>
            <w:vAlign w:val="center"/>
          </w:tcPr>
          <w:p w14:paraId="430F4E22">
            <w:pPr>
              <w:suppressAutoHyphens w:val="0"/>
              <w:jc w:val="center"/>
              <w:rPr>
                <w:rFonts w:ascii="Calibri" w:hAnsi="Calibri" w:eastAsia="Calibri"/>
                <w:sz w:val="22"/>
                <w:szCs w:val="22"/>
              </w:rPr>
            </w:pPr>
            <w:r>
              <w:rPr>
                <w:rFonts w:ascii="Calibri" w:hAnsi="Calibri" w:eastAsia="Calibri"/>
                <w:sz w:val="22"/>
                <w:szCs w:val="22"/>
              </w:rPr>
              <w:t>Pelúcia lisa- 1,40 larg cor branca</w:t>
            </w:r>
          </w:p>
        </w:tc>
        <w:tc>
          <w:tcPr>
            <w:tcW w:w="2400" w:type="dxa"/>
            <w:tcBorders>
              <w:top w:val="single" w:color="auto" w:sz="8" w:space="0"/>
              <w:left w:val="nil"/>
              <w:bottom w:val="single" w:color="auto" w:sz="8" w:space="0"/>
              <w:right w:val="single" w:color="auto" w:sz="8" w:space="0"/>
            </w:tcBorders>
            <w:noWrap w:val="0"/>
            <w:vAlign w:val="center"/>
          </w:tcPr>
          <w:p w14:paraId="1AEE3C8C">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c>
          <w:tcPr>
            <w:tcW w:w="1680" w:type="dxa"/>
            <w:tcBorders>
              <w:top w:val="single" w:color="auto" w:sz="8" w:space="0"/>
              <w:left w:val="nil"/>
              <w:bottom w:val="single" w:color="auto" w:sz="8" w:space="0"/>
              <w:right w:val="single" w:color="auto" w:sz="8" w:space="0"/>
            </w:tcBorders>
            <w:noWrap w:val="0"/>
            <w:vAlign w:val="center"/>
          </w:tcPr>
          <w:p w14:paraId="21DFD623">
            <w:pPr>
              <w:suppressAutoHyphens w:val="0"/>
              <w:jc w:val="center"/>
              <w:rPr>
                <w:rFonts w:ascii="Arial" w:hAnsi="Arial" w:cs="Arial"/>
                <w:b/>
                <w:bCs/>
                <w:color w:val="000000"/>
                <w:sz w:val="22"/>
                <w:szCs w:val="22"/>
                <w:lang w:eastAsia="pt-BR"/>
              </w:rPr>
            </w:pPr>
            <w:r>
              <w:rPr>
                <w:rFonts w:ascii="Arial" w:hAnsi="Arial" w:cs="Arial"/>
                <w:color w:val="000000"/>
                <w:sz w:val="22"/>
                <w:szCs w:val="22"/>
                <w:lang w:eastAsia="pt-BR"/>
              </w:rPr>
              <w:t xml:space="preserve">R$ </w:t>
            </w:r>
          </w:p>
        </w:tc>
      </w:tr>
    </w:tbl>
    <w:p w14:paraId="3A718884">
      <w:pPr>
        <w:spacing w:line="360" w:lineRule="auto"/>
        <w:jc w:val="both"/>
        <w:rPr>
          <w:rFonts w:ascii="Arial" w:hAnsi="Arial" w:cs="Arial"/>
          <w:bCs/>
          <w:sz w:val="24"/>
          <w:szCs w:val="24"/>
          <w:highlight w:val="yellow"/>
          <w:lang w:val="pt-BR"/>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jc w:val="both"/>
        <w:rPr>
          <w:b/>
          <w:bCs/>
          <w:lang w:val="pt-BR"/>
        </w:rPr>
      </w:pPr>
      <w:r>
        <w:rPr>
          <w:b/>
          <w:bCs/>
        </w:rPr>
        <w:t>OBJETO :</w:t>
      </w:r>
      <w:r>
        <w:rPr>
          <w:rFonts w:hint="default"/>
          <w:b/>
          <w:bCs/>
          <w:lang w:val="pt-BR"/>
        </w:rPr>
        <w:t xml:space="preserve"> REFERENTE A AQUISIÇÃO DE TECIDOS PARA CONFECÇÃO DE FIGURINOS DO PROJETO DE DANÇA.</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0E29B5C1">
      <w:pPr>
        <w:pStyle w:val="19"/>
        <w:jc w:val="center"/>
        <w:rPr>
          <w:rFonts w:ascii="Calibri Light" w:hAnsi="Calibri Light" w:cs="Calibri Light"/>
          <w:b/>
          <w:bCs/>
          <w:sz w:val="20"/>
          <w:szCs w:val="20"/>
        </w:rPr>
      </w:pPr>
    </w:p>
    <w:p w14:paraId="6D2D58F4">
      <w:pPr>
        <w:pStyle w:val="19"/>
        <w:jc w:val="center"/>
        <w:rPr>
          <w:rFonts w:ascii="Calibri Light" w:hAnsi="Calibri Light" w:cs="Calibri Light"/>
          <w:b/>
          <w:bCs/>
          <w:sz w:val="20"/>
          <w:szCs w:val="20"/>
        </w:rPr>
      </w:pPr>
    </w:p>
    <w:p w14:paraId="5BB19983">
      <w:pPr>
        <w:pStyle w:val="19"/>
        <w:jc w:val="center"/>
        <w:rPr>
          <w:rFonts w:ascii="Calibri Light" w:hAnsi="Calibri Light" w:cs="Calibri Light"/>
          <w:b/>
          <w:bCs/>
          <w:sz w:val="20"/>
          <w:szCs w:val="20"/>
        </w:rPr>
      </w:pPr>
    </w:p>
    <w:p w14:paraId="40A08D0C">
      <w:pPr>
        <w:pStyle w:val="19"/>
        <w:jc w:val="center"/>
        <w:rPr>
          <w:rFonts w:ascii="Calibri Light" w:hAnsi="Calibri Light" w:cs="Calibri Light"/>
          <w:b/>
          <w:bCs/>
          <w:sz w:val="20"/>
          <w:szCs w:val="20"/>
        </w:rPr>
      </w:pPr>
    </w:p>
    <w:p w14:paraId="5514D105">
      <w:pPr>
        <w:pStyle w:val="19"/>
        <w:jc w:val="center"/>
        <w:rPr>
          <w:rFonts w:ascii="Calibri Light" w:hAnsi="Calibri Light" w:cs="Calibri Light"/>
          <w:b/>
          <w:bCs/>
          <w:sz w:val="20"/>
          <w:szCs w:val="20"/>
        </w:rPr>
      </w:pPr>
    </w:p>
    <w:p w14:paraId="7B37F2A5">
      <w:pPr>
        <w:pStyle w:val="19"/>
        <w:jc w:val="center"/>
        <w:rPr>
          <w:rFonts w:ascii="Calibri Light" w:hAnsi="Calibri Light" w:cs="Calibri Light"/>
          <w:b/>
          <w:bCs/>
          <w:sz w:val="20"/>
          <w:szCs w:val="20"/>
        </w:rPr>
      </w:pPr>
    </w:p>
    <w:p w14:paraId="19C7CD7F">
      <w:pPr>
        <w:pStyle w:val="19"/>
        <w:jc w:val="center"/>
        <w:rPr>
          <w:rFonts w:ascii="Calibri Light" w:hAnsi="Calibri Light" w:cs="Calibri Light"/>
          <w:b/>
          <w:bCs/>
          <w:sz w:val="20"/>
          <w:szCs w:val="20"/>
        </w:rPr>
      </w:pPr>
    </w:p>
    <w:p w14:paraId="40A66DC5">
      <w:pPr>
        <w:pStyle w:val="19"/>
        <w:jc w:val="center"/>
        <w:rPr>
          <w:rFonts w:ascii="Calibri Light" w:hAnsi="Calibri Light" w:cs="Calibri Light"/>
          <w:b/>
          <w:bCs/>
          <w:sz w:val="20"/>
          <w:szCs w:val="20"/>
        </w:rPr>
      </w:pPr>
    </w:p>
    <w:p w14:paraId="3150A9E7">
      <w:pPr>
        <w:pStyle w:val="19"/>
        <w:jc w:val="center"/>
        <w:rPr>
          <w:rFonts w:ascii="Calibri Light" w:hAnsi="Calibri Light" w:cs="Calibri Light"/>
          <w:b/>
          <w:bCs/>
          <w:sz w:val="20"/>
          <w:szCs w:val="20"/>
        </w:rPr>
      </w:pPr>
    </w:p>
    <w:p w14:paraId="79E6D7F4">
      <w:pPr>
        <w:pStyle w:val="19"/>
        <w:jc w:val="center"/>
        <w:rPr>
          <w:rFonts w:ascii="Calibri Light" w:hAnsi="Calibri Light" w:cs="Calibri Light"/>
          <w:b/>
          <w:bCs/>
          <w:sz w:val="20"/>
          <w:szCs w:val="20"/>
        </w:rPr>
      </w:pPr>
    </w:p>
    <w:p w14:paraId="41CB042A">
      <w:pPr>
        <w:pStyle w:val="19"/>
        <w:jc w:val="center"/>
        <w:rPr>
          <w:rFonts w:ascii="Calibri Light" w:hAnsi="Calibri Light" w:cs="Calibri Light"/>
          <w:b/>
          <w:bCs/>
          <w:sz w:val="20"/>
          <w:szCs w:val="20"/>
        </w:rPr>
      </w:pPr>
    </w:p>
    <w:p w14:paraId="3D318821">
      <w:pPr>
        <w:pStyle w:val="19"/>
        <w:jc w:val="center"/>
        <w:rPr>
          <w:rFonts w:ascii="Calibri Light" w:hAnsi="Calibri Light" w:cs="Calibri Light"/>
          <w:b/>
          <w:bCs/>
          <w:sz w:val="20"/>
          <w:szCs w:val="20"/>
        </w:rPr>
      </w:pPr>
    </w:p>
    <w:p w14:paraId="07D12834">
      <w:pPr>
        <w:pStyle w:val="19"/>
        <w:jc w:val="center"/>
        <w:rPr>
          <w:rFonts w:ascii="Calibri Light" w:hAnsi="Calibri Light" w:cs="Calibri Light"/>
          <w:b/>
          <w:bCs/>
          <w:sz w:val="20"/>
          <w:szCs w:val="20"/>
        </w:rPr>
      </w:pPr>
    </w:p>
    <w:p w14:paraId="0656B0E0">
      <w:pPr>
        <w:pStyle w:val="19"/>
        <w:jc w:val="center"/>
        <w:rPr>
          <w:rFonts w:ascii="Calibri Light" w:hAnsi="Calibri Light" w:cs="Calibri Light"/>
          <w:b/>
          <w:bCs/>
          <w:sz w:val="20"/>
          <w:szCs w:val="20"/>
        </w:rPr>
      </w:pPr>
    </w:p>
    <w:p w14:paraId="4DF45C67">
      <w:pPr>
        <w:pStyle w:val="19"/>
        <w:jc w:val="center"/>
        <w:rPr>
          <w:rFonts w:ascii="Calibri Light" w:hAnsi="Calibri Light" w:cs="Calibri Light"/>
          <w:b/>
          <w:bCs/>
          <w:sz w:val="20"/>
          <w:szCs w:val="20"/>
        </w:rPr>
      </w:pPr>
    </w:p>
    <w:p w14:paraId="18DEDD91">
      <w:pPr>
        <w:pStyle w:val="19"/>
        <w:jc w:val="center"/>
        <w:rPr>
          <w:rFonts w:ascii="Calibri Light" w:hAnsi="Calibri Light" w:cs="Calibri Light"/>
          <w:b/>
          <w:bCs/>
          <w:sz w:val="20"/>
          <w:szCs w:val="20"/>
        </w:rPr>
      </w:pPr>
    </w:p>
    <w:p w14:paraId="19C9C08D">
      <w:pPr>
        <w:pStyle w:val="19"/>
        <w:jc w:val="center"/>
        <w:rPr>
          <w:rFonts w:ascii="Calibri Light" w:hAnsi="Calibri Light" w:cs="Calibri Light"/>
          <w:b/>
          <w:bCs/>
          <w:sz w:val="20"/>
          <w:szCs w:val="20"/>
        </w:rPr>
      </w:pPr>
    </w:p>
    <w:p w14:paraId="2C772810">
      <w:pPr>
        <w:pStyle w:val="19"/>
        <w:jc w:val="center"/>
        <w:rPr>
          <w:rFonts w:ascii="Calibri Light" w:hAnsi="Calibri Light" w:cs="Calibri Light"/>
          <w:b/>
          <w:bCs/>
          <w:sz w:val="20"/>
          <w:szCs w:val="20"/>
        </w:rPr>
      </w:pPr>
    </w:p>
    <w:p w14:paraId="0E5DCEE4">
      <w:pPr>
        <w:pStyle w:val="19"/>
        <w:jc w:val="center"/>
        <w:rPr>
          <w:rFonts w:ascii="Calibri Light" w:hAnsi="Calibri Light" w:cs="Calibri Light"/>
          <w:b/>
          <w:bCs/>
          <w:sz w:val="20"/>
          <w:szCs w:val="20"/>
        </w:rPr>
      </w:pPr>
    </w:p>
    <w:p w14:paraId="717304B2">
      <w:pPr>
        <w:pStyle w:val="19"/>
        <w:jc w:val="center"/>
        <w:rPr>
          <w:rFonts w:ascii="Calibri Light" w:hAnsi="Calibri Light" w:cs="Calibri Light"/>
          <w:b/>
          <w:bCs/>
          <w:sz w:val="20"/>
          <w:szCs w:val="20"/>
        </w:rPr>
      </w:pPr>
    </w:p>
    <w:p w14:paraId="4FFC8955">
      <w:pPr>
        <w:pStyle w:val="19"/>
        <w:jc w:val="center"/>
        <w:rPr>
          <w:rFonts w:ascii="Calibri Light" w:hAnsi="Calibri Light" w:cs="Calibri Light"/>
          <w:b/>
          <w:bCs/>
          <w:sz w:val="20"/>
          <w:szCs w:val="20"/>
        </w:rPr>
      </w:pPr>
    </w:p>
    <w:p w14:paraId="24AB2B92">
      <w:pPr>
        <w:pStyle w:val="19"/>
        <w:jc w:val="center"/>
        <w:rPr>
          <w:rFonts w:ascii="Calibri Light" w:hAnsi="Calibri Light" w:cs="Calibri Light"/>
          <w:b/>
          <w:bCs/>
          <w:sz w:val="20"/>
          <w:szCs w:val="20"/>
        </w:rPr>
      </w:pPr>
    </w:p>
    <w:p w14:paraId="78ED4BB1">
      <w:pPr>
        <w:pStyle w:val="19"/>
        <w:jc w:val="center"/>
        <w:rPr>
          <w:rFonts w:ascii="Calibri Light" w:hAnsi="Calibri Light" w:cs="Calibri Light"/>
          <w:b/>
          <w:bCs/>
          <w:sz w:val="20"/>
          <w:szCs w:val="20"/>
        </w:rPr>
      </w:pPr>
    </w:p>
    <w:p w14:paraId="274F2D3C">
      <w:pPr>
        <w:pStyle w:val="19"/>
        <w:jc w:val="center"/>
        <w:rPr>
          <w:rFonts w:ascii="Calibri Light" w:hAnsi="Calibri Light" w:cs="Calibri Light"/>
          <w:b/>
          <w:bCs/>
          <w:sz w:val="20"/>
          <w:szCs w:val="20"/>
        </w:rPr>
      </w:pPr>
    </w:p>
    <w:p w14:paraId="2A2E721C">
      <w:pPr>
        <w:pStyle w:val="19"/>
        <w:jc w:val="center"/>
        <w:rPr>
          <w:rFonts w:ascii="Calibri Light" w:hAnsi="Calibri Light" w:cs="Calibri Light"/>
          <w:b/>
          <w:bCs/>
          <w:sz w:val="20"/>
          <w:szCs w:val="20"/>
        </w:rPr>
      </w:pPr>
    </w:p>
    <w:p w14:paraId="0F1E4412">
      <w:pPr>
        <w:pStyle w:val="19"/>
        <w:jc w:val="center"/>
        <w:rPr>
          <w:rFonts w:ascii="Calibri Light" w:hAnsi="Calibri Light" w:cs="Calibri Light"/>
          <w:b/>
          <w:bCs/>
          <w:sz w:val="20"/>
          <w:szCs w:val="20"/>
        </w:rPr>
      </w:pPr>
    </w:p>
    <w:p w14:paraId="562510A3">
      <w:pPr>
        <w:pStyle w:val="19"/>
        <w:jc w:val="center"/>
        <w:rPr>
          <w:rFonts w:ascii="Calibri Light" w:hAnsi="Calibri Light" w:cs="Calibri Light"/>
          <w:b/>
          <w:bCs/>
          <w:sz w:val="20"/>
          <w:szCs w:val="20"/>
        </w:rPr>
      </w:pPr>
    </w:p>
    <w:p w14:paraId="2A45CAF6">
      <w:pPr>
        <w:pStyle w:val="19"/>
        <w:jc w:val="center"/>
        <w:rPr>
          <w:rFonts w:ascii="Calibri Light" w:hAnsi="Calibri Light" w:cs="Calibri Light"/>
          <w:b/>
          <w:bCs/>
          <w:sz w:val="20"/>
          <w:szCs w:val="20"/>
        </w:rPr>
      </w:pPr>
    </w:p>
    <w:p w14:paraId="262CEA07">
      <w:pPr>
        <w:pStyle w:val="19"/>
        <w:jc w:val="center"/>
        <w:rPr>
          <w:rFonts w:ascii="Calibri Light" w:hAnsi="Calibri Light" w:cs="Calibri Light"/>
          <w:b/>
          <w:bCs/>
          <w:sz w:val="20"/>
          <w:szCs w:val="20"/>
        </w:rPr>
      </w:pPr>
    </w:p>
    <w:p w14:paraId="3963386B">
      <w:pPr>
        <w:pStyle w:val="19"/>
        <w:jc w:val="center"/>
        <w:rPr>
          <w:rFonts w:ascii="Calibri Light" w:hAnsi="Calibri Light" w:cs="Calibri Light"/>
          <w:b/>
          <w:bCs/>
          <w:sz w:val="20"/>
          <w:szCs w:val="20"/>
        </w:rPr>
      </w:pPr>
    </w:p>
    <w:p w14:paraId="480DFB8A">
      <w:pPr>
        <w:pStyle w:val="19"/>
        <w:jc w:val="center"/>
        <w:rPr>
          <w:rFonts w:ascii="Calibri Light" w:hAnsi="Calibri Light" w:cs="Calibri Light"/>
          <w:b/>
          <w:bCs/>
          <w:sz w:val="20"/>
          <w:szCs w:val="20"/>
        </w:rPr>
      </w:pPr>
    </w:p>
    <w:p w14:paraId="548EDCFC">
      <w:pPr>
        <w:pStyle w:val="19"/>
        <w:jc w:val="center"/>
        <w:rPr>
          <w:rFonts w:ascii="Calibri Light" w:hAnsi="Calibri Light" w:cs="Calibri Light"/>
          <w:b/>
          <w:bCs/>
          <w:sz w:val="20"/>
          <w:szCs w:val="20"/>
        </w:rPr>
      </w:pPr>
    </w:p>
    <w:p w14:paraId="394BC70E">
      <w:pPr>
        <w:pStyle w:val="19"/>
        <w:jc w:val="center"/>
        <w:rPr>
          <w:rFonts w:ascii="Calibri Light" w:hAnsi="Calibri Light" w:cs="Calibri Light"/>
          <w:b/>
          <w:bCs/>
          <w:sz w:val="20"/>
          <w:szCs w:val="20"/>
        </w:rPr>
      </w:pPr>
    </w:p>
    <w:p w14:paraId="55E46129">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430</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42/</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0"/>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0"/>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7"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7"/>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2"/>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4"/>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6CA39AE7">
      <w:pPr>
        <w:pStyle w:val="19"/>
        <w:jc w:val="both"/>
        <w:rPr>
          <w:rFonts w:ascii="Times New Roman" w:hAnsi="Times New Roman" w:eastAsia="Arial"/>
          <w:b/>
          <w:sz w:val="24"/>
          <w:szCs w:val="24"/>
          <w:lang w:val="pt-PT"/>
        </w:rPr>
      </w:pPr>
    </w:p>
    <w:p w14:paraId="5F9AA6B0">
      <w:pPr>
        <w:pStyle w:val="19"/>
        <w:jc w:val="both"/>
        <w:rPr>
          <w:rFonts w:ascii="Times New Roman" w:hAnsi="Times New Roman" w:eastAsia="Arial"/>
          <w:b/>
          <w:sz w:val="24"/>
          <w:szCs w:val="24"/>
          <w:lang w:val="pt-PT"/>
        </w:rPr>
      </w:pPr>
    </w:p>
    <w:p w14:paraId="510C3A09">
      <w:pPr>
        <w:pStyle w:val="19"/>
        <w:jc w:val="center"/>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42</w:t>
      </w:r>
      <w:r>
        <w:rPr>
          <w:rFonts w:eastAsia="Arial"/>
          <w:sz w:val="24"/>
          <w:szCs w:val="24"/>
        </w:rPr>
        <w:t>/2025  PROCESSO N°</w:t>
      </w:r>
      <w:r>
        <w:rPr>
          <w:rFonts w:hint="default" w:eastAsia="Arial"/>
          <w:sz w:val="24"/>
          <w:szCs w:val="24"/>
          <w:lang w:val="pt-BR"/>
        </w:rPr>
        <w:t>430</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F1CBA4">
      <w:pPr>
        <w:spacing w:line="480" w:lineRule="auto"/>
        <w:jc w:val="both"/>
        <w:rPr>
          <w:rFonts w:hint="default"/>
          <w:b/>
          <w:bCs/>
          <w:lang w:val="pt-BR"/>
        </w:rPr>
      </w:pPr>
      <w:r>
        <w:rPr>
          <w:b/>
          <w:sz w:val="26"/>
          <w:szCs w:val="26"/>
          <w:lang w:eastAsia="pt-BR"/>
        </w:rPr>
        <w:t>OBJETO:</w:t>
      </w:r>
      <w:r>
        <w:rPr>
          <w:rFonts w:hint="default"/>
          <w:b/>
          <w:sz w:val="26"/>
          <w:szCs w:val="26"/>
          <w:lang w:val="en-US" w:eastAsia="pt-BR"/>
        </w:rPr>
        <w:t xml:space="preserve"> </w:t>
      </w:r>
      <w:r>
        <w:rPr>
          <w:rFonts w:hint="default" w:ascii="Arial" w:hAnsi="Arial" w:cs="Arial"/>
          <w:b/>
          <w:bCs/>
          <w:sz w:val="20"/>
          <w:szCs w:val="20"/>
          <w:lang w:val="pt-BR"/>
        </w:rPr>
        <w:t>REFERENTE A AQUISIÇÃO DE TECIDOS PARA CONFECÇÃO DE FIGURINOS DO PROJETO DE DANÇA.</w:t>
      </w:r>
    </w:p>
    <w:p w14:paraId="5D67ADBD">
      <w:pPr>
        <w:spacing w:line="480" w:lineRule="auto"/>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5"/>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6"/>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6"/>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6"/>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6"/>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6"/>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5"/>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7"/>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7"/>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8" w:name="_Hlk162823156"/>
    <w:r>
      <w:rPr>
        <w:b/>
        <w:bCs/>
        <w:sz w:val="18"/>
      </w:rPr>
      <w:t>Rua Barão de Rifaina nº 251 – CEP 14.490-000 – Centro - Rifaina-SP – Tel. (16) 3135 9500</w:t>
    </w:r>
  </w:p>
  <w:bookmarkEnd w:id="8"/>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1">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2">
    <w:nsid w:val="68781C08"/>
    <w:multiLevelType w:val="multilevel"/>
    <w:tmpl w:val="68781C08"/>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3">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4">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5">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6">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0"/>
  </w:num>
  <w:num w:numId="2">
    <w:abstractNumId w:val="1"/>
  </w:num>
  <w:num w:numId="3">
    <w:abstractNumId w:val="0"/>
  </w:num>
  <w:num w:numId="4">
    <w:abstractNumId w:val="3"/>
  </w:num>
  <w:num w:numId="5">
    <w:abstractNumId w:val="11"/>
  </w:num>
  <w:num w:numId="6">
    <w:abstractNumId w:val="2"/>
  </w:num>
  <w:num w:numId="7">
    <w:abstractNumId w:val="16"/>
  </w:num>
  <w:num w:numId="8">
    <w:abstractNumId w:val="13"/>
  </w:num>
  <w:num w:numId="9">
    <w:abstractNumId w:val="12"/>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43CD4EB1"/>
    <w:rsid w:val="44F74CC8"/>
    <w:rsid w:val="459F34E9"/>
    <w:rsid w:val="47310931"/>
    <w:rsid w:val="47EB51A2"/>
    <w:rsid w:val="4AAD0EB8"/>
    <w:rsid w:val="4C513B66"/>
    <w:rsid w:val="51FF52E4"/>
    <w:rsid w:val="5511174B"/>
    <w:rsid w:val="557A16D3"/>
    <w:rsid w:val="56363B39"/>
    <w:rsid w:val="572B1B9E"/>
    <w:rsid w:val="57352DB8"/>
    <w:rsid w:val="60A348A9"/>
    <w:rsid w:val="61476185"/>
    <w:rsid w:val="622B0C62"/>
    <w:rsid w:val="624F4F13"/>
    <w:rsid w:val="67C004EC"/>
    <w:rsid w:val="6F8B4C7B"/>
    <w:rsid w:val="72C139D8"/>
    <w:rsid w:val="746304A6"/>
    <w:rsid w:val="755473D5"/>
    <w:rsid w:val="76942EFD"/>
    <w:rsid w:val="77BC2EAB"/>
    <w:rsid w:val="784920C5"/>
    <w:rsid w:val="78CA0126"/>
    <w:rsid w:val="7BE25B2B"/>
    <w:rsid w:val="7BFB382F"/>
    <w:rsid w:val="7E6F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29</Pages>
  <Words>11909</Words>
  <Characters>64312</Characters>
  <Lines>535</Lines>
  <Paragraphs>152</Paragraphs>
  <TotalTime>11</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2025-09-23T15:43:00Z</cp:lastPrinted>
  <dcterms:modified xsi:type="dcterms:W3CDTF">2025-10-15T14:02:14Z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50AC0E2386AB4C33AA58E69663C9E0DF_13</vt:lpwstr>
  </property>
</Properties>
</file>